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699"/>
        <w:ind w:left="5103" w:right="-1"/>
        <w:jc w:val="both"/>
        <w:widowControl/>
        <w:tabs>
          <w:tab w:val="left" w:pos="1418" w:leader="none"/>
        </w:tabs>
        <w:rPr>
          <w:sz w:val="24"/>
          <w:szCs w:val="22"/>
        </w:rPr>
        <w:outlineLvl w:val="0"/>
      </w:pPr>
      <w:r>
        <w:rPr>
          <w:sz w:val="24"/>
          <w:szCs w:val="22"/>
        </w:rPr>
        <w:t xml:space="preserve">Приложение 1</w:t>
      </w:r>
      <w:r>
        <w:rPr>
          <w:sz w:val="24"/>
          <w:szCs w:val="22"/>
        </w:rPr>
      </w:r>
      <w:r>
        <w:rPr>
          <w:sz w:val="24"/>
          <w:szCs w:val="22"/>
        </w:rPr>
      </w:r>
    </w:p>
    <w:p>
      <w:pPr>
        <w:pStyle w:val="699"/>
        <w:ind w:left="5103" w:right="-1"/>
        <w:jc w:val="both"/>
        <w:widowControl/>
        <w:tabs>
          <w:tab w:val="left" w:pos="1418" w:leader="none"/>
        </w:tabs>
        <w:rPr>
          <w:sz w:val="24"/>
          <w:szCs w:val="22"/>
        </w:rPr>
        <w:outlineLvl w:val="0"/>
      </w:pPr>
      <w:r>
        <w:rPr>
          <w:sz w:val="24"/>
          <w:szCs w:val="22"/>
        </w:rPr>
        <w:t xml:space="preserve">к Закону Московской области </w:t>
      </w:r>
      <w:r>
        <w:rPr>
          <w:sz w:val="24"/>
          <w:szCs w:val="22"/>
        </w:rPr>
      </w:r>
      <w:r>
        <w:rPr>
          <w:sz w:val="24"/>
          <w:szCs w:val="22"/>
        </w:rPr>
      </w:r>
    </w:p>
    <w:p>
      <w:pPr>
        <w:pStyle w:val="699"/>
        <w:ind w:left="5103" w:right="-1"/>
        <w:jc w:val="both"/>
        <w:widowControl/>
        <w:tabs>
          <w:tab w:val="left" w:pos="1418" w:leader="none"/>
        </w:tabs>
        <w:rPr>
          <w:sz w:val="24"/>
          <w:szCs w:val="22"/>
        </w:rPr>
        <w:outlineLvl w:val="0"/>
      </w:pPr>
      <w:r>
        <w:rPr>
          <w:sz w:val="24"/>
          <w:szCs w:val="22"/>
        </w:rPr>
        <w:t xml:space="preserve">«О внесении изменений в Закон Московской области «О бюджете Территориального фонда обязательного медицинского страхования Московской области на 2026 год и на плановый период 2027 и 2028 годов» </w:t>
      </w:r>
      <w:r>
        <w:rPr>
          <w:sz w:val="24"/>
          <w:szCs w:val="22"/>
        </w:rPr>
      </w:r>
      <w:r>
        <w:rPr>
          <w:sz w:val="24"/>
          <w:szCs w:val="22"/>
        </w:rPr>
      </w:r>
    </w:p>
    <w:p>
      <w:pPr>
        <w:ind w:left="5103" w:right="-144"/>
        <w:jc w:val="both"/>
        <w:widowControl/>
        <w:rPr>
          <w:sz w:val="24"/>
          <w:szCs w:val="24"/>
        </w:rPr>
        <w:outlineLvl w:val="0"/>
      </w:pPr>
      <w:r>
        <w:rPr>
          <w:sz w:val="24"/>
          <w:szCs w:val="22"/>
          <w:highlight w:val="none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5103" w:right="-144"/>
        <w:jc w:val="both"/>
        <w:widowControl/>
        <w:rPr>
          <w:sz w:val="24"/>
          <w:szCs w:val="24"/>
          <w:highlight w:val="none"/>
        </w:rPr>
        <w:outlineLvl w:val="0"/>
      </w:pPr>
      <w:r>
        <w:rPr>
          <w:sz w:val="24"/>
          <w:szCs w:val="22"/>
          <w:highlight w:val="none"/>
        </w:rPr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ind w:left="5103" w:right="-144"/>
        <w:jc w:val="both"/>
        <w:widowControl/>
        <w:rPr>
          <w:sz w:val="24"/>
          <w:szCs w:val="24"/>
          <w:highlight w:val="none"/>
        </w:rPr>
        <w:outlineLvl w:val="0"/>
      </w:pPr>
      <w:r>
        <w:rPr>
          <w:sz w:val="24"/>
          <w:szCs w:val="22"/>
        </w:rPr>
        <w:t xml:space="preserve">«Приложение 1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ind w:left="5103" w:right="-144"/>
        <w:jc w:val="both"/>
        <w:widowControl/>
        <w:rPr>
          <w:sz w:val="24"/>
          <w:szCs w:val="22"/>
        </w:rPr>
      </w:pPr>
      <w:r>
        <w:rPr>
          <w:sz w:val="24"/>
          <w:szCs w:val="22"/>
        </w:rPr>
        <w:t xml:space="preserve">к Закону Московской области </w:t>
      </w:r>
      <w:r>
        <w:rPr>
          <w:sz w:val="24"/>
          <w:szCs w:val="22"/>
        </w:rPr>
      </w:r>
      <w:r>
        <w:rPr>
          <w:sz w:val="24"/>
          <w:szCs w:val="22"/>
        </w:rPr>
      </w:r>
    </w:p>
    <w:p>
      <w:pPr>
        <w:ind w:left="5103" w:right="-1"/>
        <w:jc w:val="both"/>
        <w:widowControl/>
        <w:rPr>
          <w:sz w:val="24"/>
          <w:szCs w:val="22"/>
        </w:rPr>
      </w:pPr>
      <w:r>
        <w:rPr>
          <w:sz w:val="24"/>
          <w:szCs w:val="22"/>
        </w:rPr>
        <w:t xml:space="preserve">«О бюджете Территориального фонда обязательного медицинского страхования Московской области на 2026 год </w:t>
      </w:r>
      <w:r>
        <w:rPr>
          <w:sz w:val="24"/>
          <w:szCs w:val="22"/>
        </w:rPr>
        <w:br w:type="textWrapping" w:clear="all"/>
      </w:r>
      <w:r>
        <w:rPr>
          <w:sz w:val="24"/>
          <w:szCs w:val="22"/>
        </w:rPr>
        <w:t xml:space="preserve">и на плановый период 2027 и 2028 годов» </w:t>
      </w:r>
      <w:r>
        <w:rPr>
          <w:sz w:val="24"/>
          <w:szCs w:val="22"/>
        </w:rPr>
      </w:r>
      <w:r>
        <w:rPr>
          <w:sz w:val="24"/>
          <w:szCs w:val="22"/>
        </w:rPr>
      </w:r>
    </w:p>
    <w:p>
      <w:pPr>
        <w:ind w:left="4860" w:right="-257"/>
        <w:jc w:val="both"/>
        <w:widowControl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4860" w:right="-257"/>
        <w:jc w:val="both"/>
        <w:widowControl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1418" w:right="1418"/>
        <w:jc w:val="center"/>
        <w:widowControl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Поступления доходов в бюджет </w:t>
      </w:r>
      <w:r>
        <w:rPr>
          <w:b/>
          <w:bCs/>
          <w:sz w:val="28"/>
          <w:szCs w:val="28"/>
        </w:rPr>
        <w:t xml:space="preserve">Территориального фонда обязательного медицинского страхования Московской области на 2026 год</w:t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1418" w:right="1418"/>
        <w:jc w:val="both"/>
        <w:widowControl/>
        <w:rPr>
          <w:bCs/>
          <w:sz w:val="28"/>
          <w:szCs w:val="28"/>
        </w:rPr>
      </w:pP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</w:p>
    <w:tbl>
      <w:tblPr>
        <w:tblW w:w="0" w:type="auto"/>
        <w:tblInd w:w="-34" w:type="dxa"/>
        <w:tblBorders>
          <w:top w:val="single" w:color="000000" w:sz="4" w:space="0"/>
          <w:left w:val="single" w:color="000000" w:sz="4" w:space="0"/>
          <w:bottom w:val="none" w:color="000000" w:sz="0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3403"/>
        <w:gridCol w:w="4536"/>
        <w:gridCol w:w="1842"/>
      </w:tblGrid>
      <w:tr>
        <w:tblPrEx/>
        <w:trPr/>
        <w:tc>
          <w:tcPr>
            <w:tcW w:w="3403" w:type="dxa"/>
            <w:textDirection w:val="lrTb"/>
            <w:noWrap w:val="false"/>
          </w:tcPr>
          <w:p>
            <w:pPr>
              <w:widowControl/>
              <w:tabs>
                <w:tab w:val="left" w:pos="567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Коды бюджетной классификации Российской Федерации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4536" w:type="dxa"/>
            <w:textDirection w:val="lrTb"/>
            <w:noWrap w:val="false"/>
          </w:tcPr>
          <w:p>
            <w:pPr>
              <w:jc w:val="center"/>
              <w:widowControl/>
              <w:tabs>
                <w:tab w:val="left" w:pos="567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Наименования доходов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1842" w:type="dxa"/>
            <w:textDirection w:val="lrTb"/>
            <w:noWrap w:val="false"/>
          </w:tcPr>
          <w:p>
            <w:pPr>
              <w:jc w:val="center"/>
              <w:widowControl/>
              <w:tabs>
                <w:tab w:val="left" w:pos="567" w:leader="none"/>
              </w:tabs>
              <w:rPr>
                <w:bCs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Сумма</w:t>
            </w:r>
            <w:r>
              <w:rPr>
                <w:color w:val="000000"/>
                <w:sz w:val="24"/>
                <w:szCs w:val="24"/>
              </w:rPr>
              <w:br w:type="textWrapping" w:clear="all"/>
            </w:r>
            <w:r>
              <w:rPr>
                <w:color w:val="000000"/>
                <w:sz w:val="24"/>
                <w:szCs w:val="24"/>
              </w:rPr>
              <w:t xml:space="preserve">(тыс. рублей)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</w:tbl>
    <w:p>
      <w:pPr>
        <w:rPr>
          <w:vanish/>
          <w:sz w:val="2"/>
        </w:rPr>
      </w:pPr>
      <w:r>
        <w:rPr>
          <w:vanish/>
          <w:sz w:val="2"/>
        </w:rPr>
      </w:r>
      <w:r>
        <w:rPr>
          <w:vanish/>
          <w:sz w:val="2"/>
        </w:rPr>
      </w:r>
      <w:r>
        <w:rPr>
          <w:vanish/>
          <w:sz w:val="2"/>
        </w:rPr>
      </w:r>
    </w:p>
    <w:tbl>
      <w:tblPr>
        <w:tblW w:w="0" w:type="auto"/>
        <w:tblInd w:w="-3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E0" w:firstRow="1" w:lastRow="1" w:firstColumn="1" w:lastColumn="0" w:noHBand="0" w:noVBand="1"/>
      </w:tblPr>
      <w:tblGrid>
        <w:gridCol w:w="3403"/>
        <w:gridCol w:w="4536"/>
        <w:gridCol w:w="1842"/>
      </w:tblGrid>
      <w:tr>
        <w:tblPrEx/>
        <w:trPr>
          <w:tblHeader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03" w:type="dxa"/>
            <w:textDirection w:val="lrTb"/>
            <w:noWrap w:val="false"/>
          </w:tcPr>
          <w:p>
            <w:pPr>
              <w:ind w:right="34"/>
              <w:jc w:val="center"/>
              <w:widowControl/>
              <w:tabs>
                <w:tab w:val="left" w:pos="567" w:leader="none"/>
                <w:tab w:val="left" w:pos="601" w:leader="none"/>
                <w:tab w:val="left" w:pos="3045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6" w:type="dxa"/>
            <w:textDirection w:val="lrTb"/>
            <w:noWrap w:val="false"/>
          </w:tcPr>
          <w:p>
            <w:pPr>
              <w:ind w:right="-108"/>
              <w:jc w:val="center"/>
              <w:widowControl/>
              <w:tabs>
                <w:tab w:val="left" w:pos="567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2" w:type="dxa"/>
            <w:textDirection w:val="lrTb"/>
            <w:noWrap w:val="false"/>
          </w:tcPr>
          <w:p>
            <w:pPr>
              <w:jc w:val="center"/>
              <w:widowControl/>
              <w:tabs>
                <w:tab w:val="left" w:pos="567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3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03" w:type="dxa"/>
            <w:textDirection w:val="lrTb"/>
            <w:noWrap w:val="false"/>
          </w:tcPr>
          <w:p>
            <w:pPr>
              <w:ind w:right="34"/>
              <w:jc w:val="center"/>
              <w:widowControl/>
              <w:tabs>
                <w:tab w:val="left" w:pos="567" w:leader="none"/>
                <w:tab w:val="left" w:pos="601" w:leader="none"/>
                <w:tab w:val="left" w:pos="3045" w:leader="none"/>
              </w:tabs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000 1 00 00000 00 0000 000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6" w:type="dxa"/>
            <w:textDirection w:val="lrTb"/>
            <w:noWrap w:val="false"/>
          </w:tcPr>
          <w:p>
            <w:pPr>
              <w:widowControl/>
              <w:tabs>
                <w:tab w:val="left" w:pos="567" w:leader="none"/>
              </w:tabs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НАЛОГОВЫЕ И НЕНАЛОГОВЫЕ ДОХОДЫ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2" w:type="dxa"/>
            <w:textDirection w:val="lrTb"/>
            <w:noWrap w:val="false"/>
          </w:tcPr>
          <w:p>
            <w:pPr>
              <w:ind w:right="34"/>
              <w:jc w:val="center"/>
              <w:widowControl/>
              <w:tabs>
                <w:tab w:val="left" w:pos="567" w:leader="none"/>
              </w:tabs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739 627,4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03" w:type="dxa"/>
            <w:textDirection w:val="lrTb"/>
            <w:noWrap w:val="false"/>
          </w:tcPr>
          <w:p>
            <w:pPr>
              <w:ind w:right="34"/>
              <w:jc w:val="center"/>
              <w:widowControl/>
              <w:tabs>
                <w:tab w:val="left" w:pos="567" w:leader="none"/>
                <w:tab w:val="left" w:pos="601" w:leader="none"/>
                <w:tab w:val="left" w:pos="3045" w:leader="none"/>
              </w:tabs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 xml:space="preserve">000 1 13 00000 00 0000 000</w:t>
            </w:r>
            <w:r>
              <w:rPr>
                <w:bCs/>
                <w:sz w:val="24"/>
                <w:szCs w:val="24"/>
                <w:lang w:val="en-US"/>
              </w:rPr>
            </w:r>
            <w:r>
              <w:rPr>
                <w:bCs/>
                <w:sz w:val="24"/>
                <w:szCs w:val="24"/>
                <w:lang w:val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6" w:type="dxa"/>
            <w:textDirection w:val="lrTb"/>
            <w:noWrap w:val="false"/>
          </w:tcPr>
          <w:p>
            <w:pPr>
              <w:widowControl/>
              <w:tabs>
                <w:tab w:val="left" w:pos="567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ДОХОДЫ ОТ ОКАЗАНИЯ ПЛАТНЫХ УСЛУГ И КОМПЕНСАЦИИ ЗАТРАТ ГОСУДАРСТВА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2" w:type="dxa"/>
            <w:textDirection w:val="lrTb"/>
            <w:noWrap w:val="false"/>
          </w:tcPr>
          <w:p>
            <w:pPr>
              <w:ind w:right="34"/>
              <w:jc w:val="center"/>
              <w:widowControl/>
              <w:tabs>
                <w:tab w:val="left" w:pos="567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20 831,6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03" w:type="dxa"/>
            <w:textDirection w:val="lrTb"/>
            <w:noWrap w:val="false"/>
          </w:tcPr>
          <w:p>
            <w:pPr>
              <w:ind w:right="34"/>
              <w:jc w:val="center"/>
              <w:widowControl/>
              <w:tabs>
                <w:tab w:val="left" w:pos="567" w:leader="none"/>
                <w:tab w:val="left" w:pos="601" w:leader="none"/>
                <w:tab w:val="left" w:pos="3045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000 1 13 02000 00 0000 130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6" w:type="dxa"/>
            <w:textDirection w:val="lrTb"/>
            <w:noWrap w:val="false"/>
          </w:tcPr>
          <w:p>
            <w:pPr>
              <w:widowControl/>
              <w:tabs>
                <w:tab w:val="left" w:pos="567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Доходы от компенсации затрат государства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2" w:type="dxa"/>
            <w:textDirection w:val="lrTb"/>
            <w:noWrap w:val="false"/>
          </w:tcPr>
          <w:p>
            <w:pPr>
              <w:ind w:right="34"/>
              <w:jc w:val="center"/>
              <w:widowControl/>
              <w:tabs>
                <w:tab w:val="left" w:pos="567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20 831,6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  <w:p>
            <w:pPr>
              <w:ind w:right="34"/>
              <w:jc w:val="center"/>
              <w:widowControl/>
              <w:tabs>
                <w:tab w:val="left" w:pos="567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03" w:type="dxa"/>
            <w:textDirection w:val="lrTb"/>
            <w:noWrap w:val="false"/>
          </w:tcPr>
          <w:p>
            <w:pPr>
              <w:ind w:right="34"/>
              <w:jc w:val="center"/>
              <w:widowControl/>
              <w:tabs>
                <w:tab w:val="left" w:pos="567" w:leader="none"/>
                <w:tab w:val="left" w:pos="601" w:leader="none"/>
                <w:tab w:val="left" w:pos="3045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000 1 13 02990 00 0000 130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6" w:type="dxa"/>
            <w:textDirection w:val="lrTb"/>
            <w:noWrap w:val="false"/>
          </w:tcPr>
          <w:p>
            <w:pPr>
              <w:widowControl/>
              <w:tabs>
                <w:tab w:val="left" w:pos="567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Прочие доходы от компенсации затрат государства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2" w:type="dxa"/>
            <w:textDirection w:val="lrTb"/>
            <w:noWrap w:val="false"/>
          </w:tcPr>
          <w:p>
            <w:pPr>
              <w:ind w:right="34"/>
              <w:jc w:val="center"/>
              <w:widowControl/>
              <w:tabs>
                <w:tab w:val="left" w:pos="567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20 831,6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  <w:p>
            <w:pPr>
              <w:ind w:right="34"/>
              <w:jc w:val="center"/>
              <w:widowControl/>
              <w:tabs>
                <w:tab w:val="left" w:pos="567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03" w:type="dxa"/>
            <w:textDirection w:val="lrTb"/>
            <w:noWrap w:val="false"/>
          </w:tcPr>
          <w:p>
            <w:pPr>
              <w:ind w:right="34"/>
              <w:jc w:val="center"/>
              <w:widowControl/>
              <w:tabs>
                <w:tab w:val="left" w:pos="567" w:leader="none"/>
                <w:tab w:val="left" w:pos="601" w:leader="none"/>
                <w:tab w:val="left" w:pos="3045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en-US"/>
              </w:rPr>
              <w:t xml:space="preserve">395 1 13 02999 0</w:t>
            </w:r>
            <w:r>
              <w:rPr>
                <w:bCs/>
                <w:sz w:val="24"/>
                <w:szCs w:val="24"/>
              </w:rPr>
              <w:t xml:space="preserve">9</w:t>
            </w:r>
            <w:r>
              <w:rPr>
                <w:bCs/>
                <w:sz w:val="24"/>
                <w:szCs w:val="24"/>
                <w:lang w:val="en-US"/>
              </w:rPr>
              <w:t xml:space="preserve"> 0000 130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6" w:type="dxa"/>
            <w:textDirection w:val="lrTb"/>
            <w:noWrap w:val="false"/>
          </w:tcPr>
          <w:p>
            <w:pPr>
              <w:widowControl/>
              <w:tabs>
                <w:tab w:val="left" w:pos="567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Прочие доходы от компенсации затрат бюджетов территориальных фондов обязательного медицинского страхования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2" w:type="dxa"/>
            <w:textDirection w:val="lrTb"/>
            <w:noWrap w:val="false"/>
          </w:tcPr>
          <w:p>
            <w:pPr>
              <w:ind w:right="34"/>
              <w:jc w:val="center"/>
              <w:widowControl/>
              <w:tabs>
                <w:tab w:val="left" w:pos="567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20 831,6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  <w:p>
            <w:pPr>
              <w:ind w:right="34"/>
              <w:jc w:val="center"/>
              <w:widowControl/>
              <w:tabs>
                <w:tab w:val="left" w:pos="567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  <w:p>
            <w:pPr>
              <w:ind w:right="34"/>
              <w:jc w:val="center"/>
              <w:widowControl/>
              <w:tabs>
                <w:tab w:val="left" w:pos="567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03" w:type="dxa"/>
            <w:textDirection w:val="lrTb"/>
            <w:noWrap w:val="false"/>
          </w:tcPr>
          <w:p>
            <w:pPr>
              <w:ind w:right="34"/>
              <w:jc w:val="center"/>
              <w:widowControl/>
              <w:tabs>
                <w:tab w:val="left" w:pos="567" w:leader="none"/>
                <w:tab w:val="left" w:pos="601" w:leader="none"/>
                <w:tab w:val="left" w:pos="3045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en-US"/>
              </w:rPr>
              <w:t xml:space="preserve">000</w:t>
            </w:r>
            <w:r>
              <w:rPr>
                <w:bCs/>
                <w:sz w:val="24"/>
                <w:szCs w:val="24"/>
              </w:rPr>
              <w:t xml:space="preserve"> 1 16 00000 00 0000 000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6" w:type="dxa"/>
            <w:textDirection w:val="lrTb"/>
            <w:noWrap w:val="false"/>
          </w:tcPr>
          <w:p>
            <w:pPr>
              <w:widowControl/>
              <w:tabs>
                <w:tab w:val="left" w:pos="567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ШТРАФЫ, САНКЦИИ, ВОЗМЕЩЕНИЕ УЩЕРБА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2" w:type="dxa"/>
            <w:textDirection w:val="lrTb"/>
            <w:noWrap w:val="false"/>
          </w:tcPr>
          <w:p>
            <w:pPr>
              <w:ind w:right="34"/>
              <w:jc w:val="center"/>
              <w:widowControl/>
              <w:tabs>
                <w:tab w:val="left" w:pos="567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22 185,1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>
          <w:trHeight w:val="27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03" w:type="dxa"/>
            <w:textDirection w:val="lrTb"/>
            <w:noWrap w:val="false"/>
          </w:tcPr>
          <w:p>
            <w:pPr>
              <w:jc w:val="center"/>
              <w:widowControl/>
              <w:tabs>
                <w:tab w:val="left" w:pos="567" w:leader="none"/>
                <w:tab w:val="left" w:pos="3045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000 1 16 07000 00 0000 140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6" w:type="dxa"/>
            <w:textDirection w:val="lrTb"/>
            <w:noWrap w:val="false"/>
          </w:tcPr>
          <w:p>
            <w:pPr>
              <w:contextualSpacing w:val="0"/>
              <w:jc w:val="left"/>
              <w:widowControl/>
              <w:rPr>
                <w:bCs/>
                <w:sz w:val="24"/>
                <w:szCs w:val="24"/>
              </w:rPr>
              <w:suppressLineNumbers w:val="0"/>
            </w:pPr>
            <w:r>
              <w:rPr>
                <w:bCs/>
                <w:sz w:val="24"/>
                <w:szCs w:val="24"/>
              </w:rPr>
              <w:t xml:space="preserve">Штрафы, неустойки, пени, уплаченные в соответствии с законом или договором в случае неисполнения или ненадлеж</w:t>
            </w:r>
            <w:r>
              <w:rPr>
                <w:bCs/>
                <w:sz w:val="24"/>
                <w:szCs w:val="24"/>
              </w:rPr>
              <w:t xml:space="preserve">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2" w:type="dxa"/>
            <w:textDirection w:val="lrTb"/>
            <w:noWrap w:val="false"/>
          </w:tcPr>
          <w:p>
            <w:pPr>
              <w:ind w:right="34"/>
              <w:jc w:val="center"/>
              <w:widowControl/>
              <w:tabs>
                <w:tab w:val="left" w:pos="567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18 052,2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>
          <w:trHeight w:val="28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03" w:type="dxa"/>
            <w:textDirection w:val="lrTb"/>
            <w:noWrap w:val="false"/>
          </w:tcPr>
          <w:p>
            <w:pPr>
              <w:jc w:val="center"/>
              <w:widowControl/>
              <w:tabs>
                <w:tab w:val="left" w:pos="567" w:leader="none"/>
                <w:tab w:val="left" w:pos="3045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000 1 16 07010 00 0000 140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6" w:type="dxa"/>
            <w:textDirection w:val="lrTb"/>
            <w:noWrap w:val="false"/>
          </w:tcPr>
          <w:p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Штрафы, неустойки, пени, уплаченные в случае просрочки исполнения поставщиком (подрядчиком, исполнителем) обязательств, </w:t>
            </w:r>
            <w:r>
              <w:rPr>
                <w:bCs/>
                <w:sz w:val="24"/>
                <w:szCs w:val="24"/>
              </w:rPr>
              <w:t xml:space="preserve">предусмотренных государственным (муниципальным) контрактом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2" w:type="dxa"/>
            <w:textDirection w:val="lrTb"/>
            <w:noWrap w:val="false"/>
          </w:tcPr>
          <w:p>
            <w:pPr>
              <w:ind w:right="34"/>
              <w:jc w:val="center"/>
              <w:tabs>
                <w:tab w:val="left" w:pos="567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238,5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03" w:type="dxa"/>
            <w:textDirection w:val="lrTb"/>
            <w:noWrap w:val="false"/>
          </w:tcPr>
          <w:p>
            <w:pPr>
              <w:jc w:val="center"/>
              <w:widowControl/>
              <w:tabs>
                <w:tab w:val="left" w:pos="567" w:leader="none"/>
                <w:tab w:val="left" w:pos="3045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395 1 16 07010 09 0000 140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6" w:type="dxa"/>
            <w:textDirection w:val="lrTb"/>
            <w:noWrap w:val="false"/>
          </w:tcPr>
          <w:p>
            <w:pPr>
              <w:widowControl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Штрафы, неустойки, пени, уплаченные в случае просрочки исполнения поставщиком (подрядчиком, исполнителем) обязательств, предусмотренных государственным контрактом, заключенным территориальным фондом обязательного медицинского страхования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2" w:type="dxa"/>
            <w:textDirection w:val="lrTb"/>
            <w:noWrap w:val="false"/>
          </w:tcPr>
          <w:p>
            <w:pPr>
              <w:ind w:right="34"/>
              <w:jc w:val="center"/>
              <w:widowControl/>
              <w:tabs>
                <w:tab w:val="left" w:pos="567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238,5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03" w:type="dxa"/>
            <w:textDirection w:val="lrTb"/>
            <w:noWrap w:val="false"/>
          </w:tcPr>
          <w:p>
            <w:pPr>
              <w:jc w:val="center"/>
              <w:widowControl/>
              <w:tabs>
                <w:tab w:val="left" w:pos="567" w:leader="none"/>
                <w:tab w:val="left" w:pos="3045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000 1 16 07090 00 0000 140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6" w:type="dxa"/>
            <w:textDirection w:val="lrTb"/>
            <w:noWrap w:val="false"/>
          </w:tcPr>
          <w:p>
            <w:pPr>
              <w:widowControl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Иные штрафы, неустойки, пени, уплаченные в соответствии с законом </w:t>
            </w:r>
            <w:r>
              <w:rPr>
                <w:bCs/>
                <w:sz w:val="24"/>
                <w:szCs w:val="24"/>
              </w:rPr>
              <w:br w:type="textWrapping" w:clear="all"/>
            </w:r>
            <w:r>
              <w:rPr>
                <w:bCs/>
                <w:sz w:val="24"/>
                <w:szCs w:val="24"/>
              </w:rPr>
              <w:t xml:space="preserve">или договором в случае неисполнения или ненадлежащего исполнения обязательств перед государственным (муниципальным) органом, казенным учреждением, Центральным бан</w:t>
            </w:r>
            <w:r>
              <w:rPr>
                <w:bCs/>
                <w:sz w:val="24"/>
                <w:szCs w:val="24"/>
              </w:rPr>
              <w:t xml:space="preserve">ком Российской Федерации, государственной корпорацией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2" w:type="dxa"/>
            <w:textDirection w:val="lrTb"/>
            <w:noWrap w:val="false"/>
          </w:tcPr>
          <w:p>
            <w:pPr>
              <w:ind w:right="34"/>
              <w:jc w:val="center"/>
              <w:widowControl/>
              <w:tabs>
                <w:tab w:val="left" w:pos="567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17 813,7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>
          <w:trHeight w:val="165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03" w:type="dxa"/>
            <w:textDirection w:val="lrTb"/>
            <w:noWrap w:val="false"/>
          </w:tcPr>
          <w:p>
            <w:pPr>
              <w:jc w:val="center"/>
              <w:widowControl/>
              <w:tabs>
                <w:tab w:val="left" w:pos="567" w:leader="none"/>
                <w:tab w:val="left" w:pos="3045" w:leader="none"/>
              </w:tabs>
            </w:pPr>
            <w:r>
              <w:rPr>
                <w:bCs/>
                <w:sz w:val="24"/>
                <w:szCs w:val="24"/>
              </w:rPr>
              <w:t xml:space="preserve">395 1 16 07090 09 0000 140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6" w:type="dxa"/>
            <w:textDirection w:val="lrTb"/>
            <w:noWrap w:val="false"/>
          </w:tcPr>
          <w:p>
            <w:pPr>
              <w:widowControl/>
              <w:tabs>
                <w:tab w:val="left" w:pos="567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Иные штрафы, неустойки, пени, уплаченные в соответствии с законом или договором в случае неисполнения или ненадлежащего исполнения обязательств перед территориальным</w:t>
            </w:r>
            <w:r>
              <w:rPr>
                <w:bCs/>
                <w:sz w:val="24"/>
                <w:szCs w:val="24"/>
              </w:rPr>
              <w:t xml:space="preserve"> фондом обязательного медицинского страхования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2" w:type="dxa"/>
            <w:textDirection w:val="lrTb"/>
            <w:noWrap w:val="false"/>
          </w:tcPr>
          <w:p>
            <w:pPr>
              <w:ind w:right="34"/>
              <w:jc w:val="center"/>
              <w:widowControl/>
              <w:tabs>
                <w:tab w:val="left" w:pos="567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17 813,7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>
          <w:trHeight w:val="26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03" w:type="dxa"/>
            <w:textDirection w:val="lrTb"/>
            <w:noWrap w:val="false"/>
          </w:tcPr>
          <w:p>
            <w:pPr>
              <w:jc w:val="center"/>
              <w:tabs>
                <w:tab w:val="left" w:pos="567" w:leader="none"/>
                <w:tab w:val="left" w:pos="3045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000 1 16 10000 00 0000 140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6" w:type="dxa"/>
            <w:textDirection w:val="lrTb"/>
            <w:noWrap w:val="false"/>
          </w:tcPr>
          <w:p>
            <w:pPr>
              <w:tabs>
                <w:tab w:val="left" w:pos="567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Платежи в целях возмещения причиненного ущерба (убытков)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2" w:type="dxa"/>
            <w:textDirection w:val="lrTb"/>
            <w:noWrap w:val="false"/>
          </w:tcPr>
          <w:p>
            <w:pPr>
              <w:ind w:right="34"/>
              <w:jc w:val="center"/>
              <w:tabs>
                <w:tab w:val="left" w:pos="567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4 132,9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>
          <w:trHeight w:val="25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03" w:type="dxa"/>
            <w:textDirection w:val="lrTb"/>
            <w:noWrap w:val="false"/>
          </w:tcPr>
          <w:p>
            <w:pPr>
              <w:jc w:val="center"/>
              <w:tabs>
                <w:tab w:val="left" w:pos="567" w:leader="none"/>
                <w:tab w:val="left" w:pos="3045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000 1 16 10100 00 0000 140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6" w:type="dxa"/>
            <w:textDirection w:val="lrTb"/>
            <w:noWrap w:val="false"/>
          </w:tcPr>
          <w:p>
            <w:pPr>
              <w:tabs>
                <w:tab w:val="left" w:pos="567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Денежные взыскания, налагаемые в возмещение ущерба, причиненного в результате незаконного или нецелевого использования бюджетных средств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2" w:type="dxa"/>
            <w:textDirection w:val="lrTb"/>
            <w:noWrap w:val="false"/>
          </w:tcPr>
          <w:p>
            <w:pPr>
              <w:ind w:right="34"/>
              <w:jc w:val="center"/>
              <w:tabs>
                <w:tab w:val="left" w:pos="567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4 132,9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  <w:p>
            <w:pPr>
              <w:ind w:right="34"/>
              <w:jc w:val="center"/>
              <w:tabs>
                <w:tab w:val="left" w:pos="567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>
          <w:trHeight w:val="188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03" w:type="dxa"/>
            <w:textDirection w:val="lrTb"/>
            <w:noWrap w:val="false"/>
          </w:tcPr>
          <w:p>
            <w:pPr>
              <w:jc w:val="center"/>
              <w:tabs>
                <w:tab w:val="left" w:pos="567" w:leader="none"/>
                <w:tab w:val="left" w:pos="3045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395 1 16 10100 09 0000 140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6" w:type="dxa"/>
            <w:textDirection w:val="lrTb"/>
            <w:noWrap w:val="false"/>
          </w:tcPr>
          <w:p>
            <w:pPr>
              <w:tabs>
                <w:tab w:val="left" w:pos="567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территориальных фондов обязательного медицинского страхования)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2" w:type="dxa"/>
            <w:textDirection w:val="lrTb"/>
            <w:noWrap w:val="false"/>
          </w:tcPr>
          <w:p>
            <w:pPr>
              <w:ind w:right="34"/>
              <w:jc w:val="center"/>
              <w:tabs>
                <w:tab w:val="left" w:pos="567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4 132,9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  <w:p>
            <w:pPr>
              <w:ind w:right="34"/>
              <w:jc w:val="center"/>
              <w:tabs>
                <w:tab w:val="left" w:pos="567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03" w:type="dxa"/>
            <w:textDirection w:val="lrTb"/>
            <w:noWrap w:val="false"/>
          </w:tcPr>
          <w:p>
            <w:pPr>
              <w:ind w:right="34"/>
              <w:jc w:val="center"/>
              <w:widowControl/>
              <w:tabs>
                <w:tab w:val="left" w:pos="567" w:leader="none"/>
                <w:tab w:val="left" w:pos="601" w:leader="none"/>
                <w:tab w:val="left" w:pos="3045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000 1 17 00000 00 0000 000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6" w:type="dxa"/>
            <w:textDirection w:val="lrTb"/>
            <w:noWrap w:val="false"/>
          </w:tcPr>
          <w:p>
            <w:pPr>
              <w:widowControl/>
              <w:tabs>
                <w:tab w:val="left" w:pos="567" w:leader="none"/>
              </w:tabs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</w:rPr>
              <w:t xml:space="preserve">ПРОЧИЕ НЕНАЛОГОВЫЕ ДОХОДЫ</w:t>
            </w:r>
            <w:r>
              <w:rPr>
                <w:bCs/>
                <w:sz w:val="24"/>
                <w:szCs w:val="24"/>
                <w:lang w:val="en-US"/>
              </w:rPr>
            </w:r>
            <w:r>
              <w:rPr>
                <w:bCs/>
                <w:sz w:val="24"/>
                <w:szCs w:val="24"/>
                <w:lang w:val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2" w:type="dxa"/>
            <w:textDirection w:val="lrTb"/>
            <w:noWrap w:val="false"/>
          </w:tcPr>
          <w:p>
            <w:pPr>
              <w:ind w:right="34"/>
              <w:jc w:val="center"/>
              <w:widowControl/>
              <w:tabs>
                <w:tab w:val="left" w:pos="567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696 610,7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03" w:type="dxa"/>
            <w:textDirection w:val="lrTb"/>
            <w:noWrap w:val="false"/>
          </w:tcPr>
          <w:p>
            <w:pPr>
              <w:jc w:val="center"/>
              <w:widowControl/>
              <w:tabs>
                <w:tab w:val="left" w:pos="567" w:leader="none"/>
                <w:tab w:val="left" w:pos="3045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000 1 17 06000 00 0000 180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6" w:type="dxa"/>
            <w:textDirection w:val="lrTb"/>
            <w:noWrap w:val="false"/>
          </w:tcPr>
          <w:p>
            <w:pPr>
              <w:widowControl/>
              <w:tabs>
                <w:tab w:val="left" w:pos="567" w:leader="none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4"/>
                <w:szCs w:val="24"/>
              </w:rPr>
              <w:t xml:space="preserve">Прочие неналоговые поступления в бюджеты государственных внебюджетных фондов</w:t>
            </w:r>
            <w:bookmarkStart w:id="0" w:name="_GoBack"/>
            <w:r/>
            <w:bookmarkEnd w:id="0"/>
            <w:r>
              <w:rPr>
                <w:bCs/>
                <w:sz w:val="28"/>
                <w:szCs w:val="28"/>
              </w:rPr>
            </w:r>
            <w:r>
              <w:rPr>
                <w:bCs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2" w:type="dxa"/>
            <w:textDirection w:val="lrTb"/>
            <w:noWrap w:val="false"/>
          </w:tcPr>
          <w:p>
            <w:pPr>
              <w:ind w:right="34"/>
              <w:jc w:val="center"/>
              <w:widowControl/>
              <w:tabs>
                <w:tab w:val="left" w:pos="567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6</w:t>
            </w:r>
            <w:r>
              <w:rPr>
                <w:bCs/>
                <w:sz w:val="24"/>
                <w:szCs w:val="24"/>
              </w:rPr>
              <w:t xml:space="preserve">96 610,7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  <w:p>
            <w:pPr>
              <w:ind w:right="34"/>
              <w:jc w:val="center"/>
              <w:widowControl/>
              <w:tabs>
                <w:tab w:val="left" w:pos="567" w:leader="none"/>
              </w:tabs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</w:r>
            <w:r>
              <w:rPr>
                <w:bCs/>
                <w:sz w:val="24"/>
                <w:szCs w:val="24"/>
                <w:lang w:val="en-US"/>
              </w:rPr>
            </w:r>
            <w:r>
              <w:rPr>
                <w:bCs/>
                <w:sz w:val="24"/>
                <w:szCs w:val="24"/>
                <w:lang w:val="en-US"/>
              </w:rPr>
            </w:r>
          </w:p>
        </w:tc>
      </w:tr>
      <w:tr>
        <w:tblPrEx/>
        <w:trPr>
          <w:trHeight w:val="95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03" w:type="dxa"/>
            <w:textDirection w:val="lrTb"/>
            <w:noWrap w:val="false"/>
          </w:tcPr>
          <w:p>
            <w:pPr>
              <w:jc w:val="center"/>
              <w:widowControl/>
              <w:tabs>
                <w:tab w:val="left" w:pos="567" w:leader="none"/>
                <w:tab w:val="left" w:pos="3045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395 1 17 06040 09 0000 180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6" w:type="dxa"/>
            <w:textDirection w:val="lrTb"/>
            <w:noWrap w:val="false"/>
          </w:tcPr>
          <w:p>
            <w:pPr>
              <w:widowControl/>
              <w:tabs>
                <w:tab w:val="left" w:pos="567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Прочие неналоговые поступления в территориальные фонды обязательного медицинского страхования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2" w:type="dxa"/>
            <w:textDirection w:val="lrTb"/>
            <w:noWrap w:val="false"/>
          </w:tcPr>
          <w:p>
            <w:pPr>
              <w:ind w:right="34"/>
              <w:jc w:val="center"/>
              <w:widowControl/>
              <w:tabs>
                <w:tab w:val="left" w:pos="567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696 610,7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  <w:p>
            <w:pPr>
              <w:ind w:right="34"/>
              <w:jc w:val="center"/>
              <w:widowControl/>
              <w:tabs>
                <w:tab w:val="left" w:pos="567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03" w:type="dxa"/>
            <w:textDirection w:val="lrTb"/>
            <w:noWrap w:val="false"/>
          </w:tcPr>
          <w:p>
            <w:pPr>
              <w:ind w:right="34"/>
              <w:jc w:val="center"/>
              <w:widowControl/>
              <w:tabs>
                <w:tab w:val="left" w:pos="567" w:leader="none"/>
                <w:tab w:val="left" w:pos="601" w:leader="none"/>
                <w:tab w:val="left" w:pos="3045" w:leader="none"/>
              </w:tabs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000 2 00 00000 00 0000 000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6" w:type="dxa"/>
            <w:textDirection w:val="lrTb"/>
            <w:noWrap w:val="false"/>
          </w:tcPr>
          <w:p>
            <w:pPr>
              <w:widowControl/>
              <w:tabs>
                <w:tab w:val="left" w:pos="567" w:leader="none"/>
              </w:tabs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</w:rPr>
              <w:t xml:space="preserve">БЕЗВОЗМЕЗДНЫЕ ПОСТУПЛЕНИЯ</w:t>
            </w:r>
            <w:r>
              <w:rPr>
                <w:b/>
                <w:bCs/>
                <w:sz w:val="24"/>
                <w:szCs w:val="24"/>
                <w:lang w:val="en-US"/>
              </w:rPr>
            </w:r>
            <w:r>
              <w:rPr>
                <w:b/>
                <w:bCs/>
                <w:sz w:val="24"/>
                <w:szCs w:val="24"/>
                <w:lang w:val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2" w:type="dxa"/>
            <w:textDirection w:val="lrTb"/>
            <w:noWrap w:val="false"/>
          </w:tcPr>
          <w:p>
            <w:pPr>
              <w:ind w:right="3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239 942 095,5</w:t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>
          <w:trHeight w:val="11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03" w:type="dxa"/>
            <w:textDirection w:val="lrTb"/>
            <w:noWrap w:val="false"/>
          </w:tcPr>
          <w:p>
            <w:pPr>
              <w:jc w:val="center"/>
              <w:widowControl/>
              <w:tabs>
                <w:tab w:val="left" w:pos="567" w:leader="none"/>
                <w:tab w:val="left" w:pos="3045" w:leader="none"/>
              </w:tabs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</w:rPr>
              <w:t xml:space="preserve">000 2 02 00000 00 0000 </w:t>
            </w:r>
            <w:r>
              <w:rPr>
                <w:bCs/>
                <w:sz w:val="24"/>
                <w:szCs w:val="24"/>
                <w:lang w:val="en-US"/>
              </w:rPr>
              <w:t xml:space="preserve">000</w:t>
            </w:r>
            <w:r>
              <w:rPr>
                <w:bCs/>
                <w:sz w:val="24"/>
                <w:szCs w:val="24"/>
                <w:lang w:val="en-US"/>
              </w:rPr>
            </w:r>
            <w:r>
              <w:rPr>
                <w:bCs/>
                <w:sz w:val="24"/>
                <w:szCs w:val="24"/>
                <w:lang w:val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6" w:type="dxa"/>
            <w:textDirection w:val="lrTb"/>
            <w:noWrap w:val="false"/>
          </w:tcPr>
          <w:p>
            <w:pPr>
              <w:pStyle w:val="886"/>
              <w:rPr>
                <w:bCs/>
              </w:rPr>
            </w:pPr>
            <w:r>
              <w:rPr>
                <w:bCs/>
              </w:rPr>
              <w:t xml:space="preserve">БЕЗВОЗМЕЗДНЫЕ ПОСТУПЛЕНИЯ ОТ ДРУГИХ БЮДЖЕТОВ БЮДЖЕТНОЙ СИСТЕМЫ РОССИЙСКОЙ ФЕДЕРАЦИИ</w:t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2" w:type="dxa"/>
            <w:textDirection w:val="lrTb"/>
            <w:noWrap w:val="false"/>
          </w:tcPr>
          <w:p>
            <w:pPr>
              <w:ind w:right="34"/>
              <w:jc w:val="center"/>
              <w:rPr>
                <w:b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 xml:space="preserve">239 942 095,5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  <w:p>
            <w:pPr>
              <w:ind w:right="34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03" w:type="dxa"/>
            <w:textDirection w:val="lrTb"/>
            <w:noWrap w:val="false"/>
          </w:tcPr>
          <w:p>
            <w:pPr>
              <w:jc w:val="center"/>
              <w:widowControl/>
              <w:tabs>
                <w:tab w:val="left" w:pos="567" w:leader="none"/>
                <w:tab w:val="left" w:pos="3045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000 2 02 50000 00 0000 150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6" w:type="dxa"/>
            <w:textDirection w:val="lrTb"/>
            <w:noWrap w:val="false"/>
          </w:tcPr>
          <w:p>
            <w:pPr>
              <w:widowControl/>
              <w:tabs>
                <w:tab w:val="left" w:pos="567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Межбюджетные трансферты, передаваемые бюджетам государственных внебюджетных фондов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2" w:type="dxa"/>
            <w:textDirection w:val="lrTb"/>
            <w:noWrap w:val="false"/>
          </w:tcPr>
          <w:p>
            <w:pPr>
              <w:ind w:right="34"/>
              <w:jc w:val="center"/>
              <w:widowControl/>
              <w:tabs>
                <w:tab w:val="left" w:pos="567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237 408 211,5</w:t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>
          <w:trHeight w:val="27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03" w:type="dxa"/>
            <w:vMerge w:val="restart"/>
            <w:textDirection w:val="lrTb"/>
            <w:noWrap w:val="false"/>
          </w:tcPr>
          <w:p>
            <w:pPr>
              <w:jc w:val="center"/>
              <w:widowControl/>
              <w:tabs>
                <w:tab w:val="left" w:pos="567" w:leader="none"/>
                <w:tab w:val="left" w:pos="3045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395 2 02 50202 09 0000 150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  <w:p>
            <w:pPr>
              <w:jc w:val="center"/>
              <w:widowControl/>
              <w:tabs>
                <w:tab w:val="left" w:pos="567" w:leader="none"/>
                <w:tab w:val="left" w:pos="3045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6" w:type="dxa"/>
            <w:vMerge w:val="restart"/>
            <w:textDirection w:val="lrTb"/>
            <w:noWrap w:val="false"/>
          </w:tcPr>
          <w:p>
            <w:pPr>
              <w:widowControl/>
              <w:tabs>
                <w:tab w:val="left" w:pos="567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Межбюджетные трансферты из бюджетов субъектов Российской Федерации, передаваемые территориальным фондам обязательного медицинского страхования на дополнительное финансовое обеспечение реализации территориальной программы обязательного медицинского страхова</w:t>
            </w:r>
            <w:r>
              <w:rPr>
                <w:bCs/>
                <w:sz w:val="24"/>
                <w:szCs w:val="24"/>
              </w:rPr>
              <w:t xml:space="preserve">ния в части базовой программы обязательного медицинского страхования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2" w:type="dxa"/>
            <w:vMerge w:val="restart"/>
            <w:textDirection w:val="lrTb"/>
            <w:noWrap w:val="false"/>
          </w:tcPr>
          <w:p>
            <w:pPr>
              <w:ind w:right="34"/>
              <w:jc w:val="center"/>
              <w:widowControl/>
              <w:tabs>
                <w:tab w:val="left" w:pos="567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7 177 031,0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>
          <w:trHeight w:val="27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03" w:type="dxa"/>
            <w:vMerge w:val="restart"/>
            <w:textDirection w:val="lrTb"/>
            <w:noWrap w:val="false"/>
          </w:tcPr>
          <w:p>
            <w:pPr>
              <w:jc w:val="center"/>
              <w:widowControl/>
              <w:tabs>
                <w:tab w:val="left" w:pos="567" w:leader="none"/>
                <w:tab w:val="left" w:pos="3045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395 2 02 50203 09 0000 150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6" w:type="dxa"/>
            <w:vMerge w:val="restart"/>
            <w:textDirection w:val="lrTb"/>
            <w:noWrap w:val="false"/>
          </w:tcPr>
          <w:p>
            <w:pPr>
              <w:widowControl/>
              <w:tabs>
                <w:tab w:val="left" w:pos="567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М</w:t>
            </w:r>
            <w:r>
              <w:rPr>
                <w:bCs/>
                <w:sz w:val="24"/>
                <w:szCs w:val="24"/>
              </w:rPr>
              <w:t xml:space="preserve">ежбюджетные трансферты из бюджетов субъектов Российской Федерации, передаваемые территориальным фондам обязательного медицинского страхования на финансовое обеспечение дополнительных видов и условий оказания медицинской помощи, не установленных базовой про</w:t>
            </w:r>
            <w:r>
              <w:rPr>
                <w:bCs/>
                <w:sz w:val="24"/>
                <w:szCs w:val="24"/>
              </w:rPr>
              <w:t xml:space="preserve">граммой обязательного медицинского страхования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2" w:type="dxa"/>
            <w:vMerge w:val="restart"/>
            <w:textDirection w:val="lrTb"/>
            <w:noWrap w:val="false"/>
          </w:tcPr>
          <w:p>
            <w:pPr>
              <w:ind w:right="34"/>
              <w:jc w:val="center"/>
              <w:widowControl/>
              <w:tabs>
                <w:tab w:val="left" w:pos="567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18 164 854,0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>
          <w:trHeight w:val="196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03" w:type="dxa"/>
            <w:textDirection w:val="lrTb"/>
            <w:noWrap w:val="false"/>
          </w:tcPr>
          <w:p>
            <w:pPr>
              <w:ind w:right="34"/>
              <w:jc w:val="center"/>
              <w:tabs>
                <w:tab w:val="left" w:pos="567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395 2 02 55093 09 0000 150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6" w:type="dxa"/>
            <w:textDirection w:val="lrTb"/>
            <w:noWrap w:val="false"/>
          </w:tcPr>
          <w:p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Субвенции бюджетам территориальных фондов обязательного медицинского страхования на финансовое обеспечение организации обязательного медицинского страхования на террито</w:t>
            </w:r>
            <w:r>
              <w:rPr>
                <w:sz w:val="24"/>
                <w:szCs w:val="24"/>
              </w:rPr>
              <w:t xml:space="preserve">риях субъектов Российской Федерации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2" w:type="dxa"/>
            <w:textDirection w:val="lrTb"/>
            <w:noWrap w:val="false"/>
          </w:tcPr>
          <w:p>
            <w:pPr>
              <w:jc w:val="center"/>
              <w:widowControl/>
              <w:tabs>
                <w:tab w:val="left" w:pos="567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197 249 722,2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>
          <w:trHeight w:val="196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03" w:type="dxa"/>
            <w:vMerge w:val="restart"/>
            <w:textDirection w:val="lrTb"/>
            <w:noWrap w:val="false"/>
          </w:tcPr>
          <w:p>
            <w:pPr>
              <w:pStyle w:val="699"/>
              <w:ind w:right="34"/>
              <w:jc w:val="center"/>
              <w:tabs>
                <w:tab w:val="left" w:pos="567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395 2 02 55257 09 0000 150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6" w:type="dxa"/>
            <w:vMerge w:val="restart"/>
            <w:textDirection w:val="lrTb"/>
            <w:noWrap w:val="false"/>
          </w:tcPr>
          <w:p>
            <w:pPr>
              <w:pStyle w:val="699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Межбюджетные трансферты, передаваемые бюджетам территориальных фондов обязательного медицинского страхования в целях софинансирования расходов медицинских организаций на оплату труда врачей и среднего медицинского персонала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2" w:type="dxa"/>
            <w:vMerge w:val="restart"/>
            <w:textDirection w:val="lrTb"/>
            <w:noWrap w:val="false"/>
          </w:tcPr>
          <w:p>
            <w:pPr>
              <w:jc w:val="center"/>
              <w:widowControl/>
              <w:tabs>
                <w:tab w:val="left" w:pos="567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288 816,7</w:t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>
          <w:trHeight w:val="84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03" w:type="dxa"/>
            <w:vMerge w:val="restart"/>
            <w:textDirection w:val="lrTb"/>
            <w:noWrap w:val="false"/>
          </w:tcPr>
          <w:p>
            <w:pPr>
              <w:pStyle w:val="699"/>
              <w:ind w:right="34"/>
              <w:jc w:val="center"/>
              <w:tabs>
                <w:tab w:val="left" w:pos="567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395 2 02 55258 09 0000 150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6" w:type="dxa"/>
            <w:vMerge w:val="restart"/>
            <w:textDirection w:val="lrTb"/>
            <w:noWrap w:val="false"/>
          </w:tcPr>
          <w:p>
            <w:pPr>
              <w:pStyle w:val="699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Межбюджетные трансферты, передаваемые бюджетам территориальных фондов обязательн</w:t>
            </w:r>
            <w:r>
              <w:rPr>
                <w:sz w:val="24"/>
                <w:szCs w:val="24"/>
              </w:rPr>
              <w:t xml:space="preserve">ого медицинского страхования на финансовое обеспечение осуществления денежных выплат стимулирующего характера медицинским работникам за выявление онкологических заболеваний в ходе проведения диспансеризации и профилактических медицинских осмотров населения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2" w:type="dxa"/>
            <w:vMerge w:val="restart"/>
            <w:textDirection w:val="lrTb"/>
            <w:noWrap w:val="false"/>
          </w:tcPr>
          <w:p>
            <w:pPr>
              <w:jc w:val="center"/>
              <w:widowControl/>
              <w:tabs>
                <w:tab w:val="left" w:pos="567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3 737,9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>
          <w:trHeight w:val="27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03" w:type="dxa"/>
            <w:textDirection w:val="lrTb"/>
            <w:noWrap w:val="false"/>
          </w:tcPr>
          <w:p>
            <w:pPr>
              <w:ind w:right="34"/>
              <w:jc w:val="center"/>
              <w:widowControl/>
              <w:tabs>
                <w:tab w:val="left" w:pos="567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000 2 02 59999 00 0000 150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6" w:type="dxa"/>
            <w:textDirection w:val="lrTb"/>
            <w:noWrap w:val="false"/>
          </w:tcPr>
          <w:p>
            <w:pPr>
              <w:widowControl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Прочие межбюджетные трансферты, передаваемые бюджетам государственных внебюджетных фондов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2" w:type="dxa"/>
            <w:textDirection w:val="lrTb"/>
            <w:noWrap w:val="false"/>
          </w:tcPr>
          <w:p>
            <w:pPr>
              <w:jc w:val="center"/>
              <w:widowControl/>
              <w:tabs>
                <w:tab w:val="left" w:pos="567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14 524 049,7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>
          <w:trHeight w:val="109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03" w:type="dxa"/>
            <w:textDirection w:val="lrTb"/>
            <w:noWrap w:val="false"/>
          </w:tcPr>
          <w:p>
            <w:pPr>
              <w:ind w:right="34"/>
              <w:jc w:val="center"/>
              <w:tabs>
                <w:tab w:val="left" w:pos="567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395 2 02 59999 09 0000 150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6" w:type="dxa"/>
            <w:textDirection w:val="lrTb"/>
            <w:noWrap w:val="false"/>
          </w:tcPr>
          <w:p>
            <w:pPr>
              <w:tabs>
                <w:tab w:val="left" w:pos="567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Прочие межбюджетные трансферты, передаваемые бюджетам территориальных фондов обязательного медицинского страхования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2" w:type="dxa"/>
            <w:textDirection w:val="lrTb"/>
            <w:noWrap w:val="false"/>
          </w:tcPr>
          <w:p>
            <w:pPr>
              <w:jc w:val="center"/>
              <w:widowControl/>
              <w:tabs>
                <w:tab w:val="left" w:pos="567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  <w:t xml:space="preserve">14 524 049,7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>
          <w:trHeight w:val="34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03" w:type="dxa"/>
            <w:textDirection w:val="lrTb"/>
            <w:noWrap w:val="false"/>
          </w:tcPr>
          <w:p>
            <w:pPr>
              <w:ind w:right="34"/>
              <w:jc w:val="center"/>
              <w:widowControl/>
              <w:tabs>
                <w:tab w:val="left" w:pos="567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en-US"/>
              </w:rPr>
              <w:t xml:space="preserve">000</w:t>
            </w:r>
            <w:r>
              <w:rPr>
                <w:bCs/>
                <w:sz w:val="24"/>
                <w:szCs w:val="24"/>
              </w:rPr>
              <w:t xml:space="preserve"> 2 02 </w:t>
            </w:r>
            <w:r>
              <w:rPr>
                <w:bCs/>
                <w:sz w:val="24"/>
                <w:szCs w:val="24"/>
                <w:lang w:val="en-US"/>
              </w:rPr>
              <w:t xml:space="preserve">9</w:t>
            </w:r>
            <w:r>
              <w:rPr>
                <w:bCs/>
                <w:sz w:val="24"/>
                <w:szCs w:val="24"/>
              </w:rPr>
              <w:t xml:space="preserve">0</w:t>
            </w:r>
            <w:r>
              <w:rPr>
                <w:bCs/>
                <w:sz w:val="24"/>
                <w:szCs w:val="24"/>
                <w:lang w:val="en-US"/>
              </w:rPr>
              <w:t xml:space="preserve">000</w:t>
            </w:r>
            <w:r>
              <w:rPr>
                <w:bCs/>
                <w:sz w:val="24"/>
                <w:szCs w:val="24"/>
              </w:rPr>
              <w:t xml:space="preserve"> 00 0000 150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6" w:type="dxa"/>
            <w:textDirection w:val="lrTb"/>
            <w:noWrap w:val="false"/>
          </w:tcPr>
          <w:p>
            <w:pPr>
              <w:widowControl/>
              <w:tabs>
                <w:tab w:val="left" w:pos="567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Прочие безвозмездные поступления </w:t>
            </w:r>
            <w:r>
              <w:rPr>
                <w:bCs/>
                <w:sz w:val="24"/>
                <w:szCs w:val="24"/>
              </w:rPr>
              <w:br w:type="textWrapping" w:clear="all"/>
            </w:r>
            <w:r>
              <w:rPr>
                <w:bCs/>
                <w:sz w:val="24"/>
                <w:szCs w:val="24"/>
              </w:rPr>
              <w:t xml:space="preserve">от других бюджетов бюджетной системы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2" w:type="dxa"/>
            <w:textDirection w:val="lrTb"/>
            <w:noWrap w:val="false"/>
          </w:tcPr>
          <w:p>
            <w:pPr>
              <w:jc w:val="center"/>
              <w:widowControl/>
              <w:tabs>
                <w:tab w:val="left" w:pos="567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2 533 884,0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>
          <w:trHeight w:val="34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03" w:type="dxa"/>
            <w:textDirection w:val="lrTb"/>
            <w:noWrap w:val="false"/>
          </w:tcPr>
          <w:p>
            <w:pPr>
              <w:ind w:right="34"/>
              <w:jc w:val="center"/>
              <w:widowControl/>
              <w:tabs>
                <w:tab w:val="left" w:pos="567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000 2 02 90020 00 0000 150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6" w:type="dxa"/>
            <w:textDirection w:val="lrTb"/>
            <w:noWrap w:val="false"/>
          </w:tcPr>
          <w:p>
            <w:pPr>
              <w:widowControl/>
              <w:rPr>
                <w:bCs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Прочие безвозмездные поступления от бюджетов субъектов Российской Федерации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2" w:type="dxa"/>
            <w:textDirection w:val="lrTb"/>
            <w:noWrap w:val="false"/>
          </w:tcPr>
          <w:p>
            <w:pPr>
              <w:jc w:val="center"/>
              <w:widowControl/>
              <w:tabs>
                <w:tab w:val="left" w:pos="567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2 533 884,0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>
          <w:trHeight w:val="106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03" w:type="dxa"/>
            <w:textDirection w:val="lrTb"/>
            <w:noWrap w:val="false"/>
          </w:tcPr>
          <w:p>
            <w:pPr>
              <w:ind w:right="34"/>
              <w:jc w:val="center"/>
              <w:widowControl/>
              <w:tabs>
                <w:tab w:val="left" w:pos="567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395 2 02 90029 09 0000 150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6" w:type="dxa"/>
            <w:textDirection w:val="lrTb"/>
            <w:noWrap w:val="false"/>
          </w:tcPr>
          <w:p>
            <w:pPr>
              <w:tabs>
                <w:tab w:val="left" w:pos="567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Прочие безвозмездные поступления </w:t>
            </w:r>
            <w:r>
              <w:rPr>
                <w:bCs/>
                <w:sz w:val="24"/>
                <w:szCs w:val="24"/>
              </w:rPr>
              <w:br w:type="textWrapping" w:clear="all"/>
            </w:r>
            <w:r>
              <w:rPr>
                <w:bCs/>
                <w:sz w:val="24"/>
                <w:szCs w:val="24"/>
              </w:rPr>
              <w:t xml:space="preserve">в территориальные фонды обязательного медицинского страхования от бюджетов субъ</w:t>
            </w:r>
            <w:r>
              <w:rPr>
                <w:bCs/>
                <w:sz w:val="24"/>
                <w:szCs w:val="24"/>
              </w:rPr>
              <w:t xml:space="preserve">ектов Российской Федерации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2" w:type="dxa"/>
            <w:textDirection w:val="lrTb"/>
            <w:noWrap w:val="false"/>
          </w:tcPr>
          <w:p>
            <w:pPr>
              <w:jc w:val="center"/>
              <w:widowControl/>
              <w:tabs>
                <w:tab w:val="left" w:pos="567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2 533 884,0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03" w:type="dxa"/>
            <w:textDirection w:val="lrTb"/>
            <w:noWrap w:val="false"/>
          </w:tcPr>
          <w:p>
            <w:pPr>
              <w:ind w:right="-108"/>
              <w:jc w:val="center"/>
              <w:widowControl/>
              <w:tabs>
                <w:tab w:val="left" w:pos="567" w:leader="none"/>
              </w:tabs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6" w:type="dxa"/>
            <w:textDirection w:val="lrTb"/>
            <w:noWrap w:val="false"/>
          </w:tcPr>
          <w:p>
            <w:pPr>
              <w:ind w:right="-108"/>
              <w:widowControl/>
              <w:tabs>
                <w:tab w:val="left" w:pos="567" w:leader="none"/>
              </w:tabs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ВСЕГО ДОХОДОВ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2" w:type="dxa"/>
            <w:textDirection w:val="lrTb"/>
            <w:noWrap w:val="false"/>
          </w:tcPr>
          <w:p>
            <w:pPr>
              <w:ind w:right="34"/>
              <w:jc w:val="center"/>
              <w:widowControl/>
              <w:tabs>
                <w:tab w:val="left" w:pos="567" w:leader="none"/>
              </w:tabs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240 681 722,9</w:t>
            </w:r>
            <w:r>
              <w:rPr>
                <w:b/>
                <w:bCs/>
                <w:sz w:val="24"/>
                <w:szCs w:val="24"/>
              </w:rPr>
            </w:r>
          </w:p>
        </w:tc>
      </w:tr>
    </w:tbl>
    <w:p>
      <w:pPr>
        <w:pStyle w:val="699"/>
        <w:ind w:right="-144"/>
        <w:rPr>
          <w:sz w:val="28"/>
          <w:szCs w:val="28"/>
        </w:rPr>
      </w:pPr>
      <w:r>
        <w:rPr>
          <w:sz w:val="24"/>
          <w:szCs w:val="24"/>
        </w:rPr>
        <w:t xml:space="preserve">                                                                                      </w:t>
      </w:r>
      <w:r>
        <w:rPr>
          <w:sz w:val="28"/>
          <w:szCs w:val="28"/>
        </w:rPr>
        <w:t xml:space="preserve">                                                              </w:t>
      </w:r>
      <w:r>
        <w:rPr>
          <w:sz w:val="28"/>
          <w:szCs w:val="28"/>
        </w:rPr>
        <w:t xml:space="preserve">».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r/>
      <w:r/>
    </w:p>
    <w:sectPr>
      <w:headerReference w:type="default" r:id="rId8"/>
      <w:footnotePr/>
      <w:endnotePr/>
      <w:type w:val="nextPage"/>
      <w:pgSz w:w="11906" w:h="16838" w:orient="portrait"/>
      <w:pgMar w:top="1134" w:right="567" w:bottom="1134" w:left="1701" w:header="709" w:footer="709" w:gutter="0"/>
      <w:cols w:num="1" w:sep="0" w:space="709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Times New Roman">
    <w:panose1 w:val="02020603050405020304"/>
  </w:font>
  <w:font w:name="Tahoma">
    <w:panose1 w:val="020B0604030504040204"/>
  </w:font>
  <w:font w:name="Calibri Light">
    <w:panose1 w:val="020F030202020403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31"/>
      <w:rPr>
        <w:rStyle w:val="881"/>
      </w:rPr>
      <w:framePr w:wrap="auto" w:vAnchor="text" w:hAnchor="margin" w:xAlign="center" w:y="1"/>
    </w:pPr>
    <w:r>
      <w:rPr>
        <w:rStyle w:val="881"/>
      </w:rPr>
      <w:fldChar w:fldCharType="begin"/>
    </w:r>
    <w:r>
      <w:rPr>
        <w:rStyle w:val="881"/>
      </w:rPr>
      <w:instrText xml:space="preserve">PAGE  </w:instrText>
    </w:r>
    <w:r>
      <w:rPr>
        <w:rStyle w:val="881"/>
      </w:rPr>
      <w:fldChar w:fldCharType="separate"/>
    </w:r>
    <w:r>
      <w:rPr>
        <w:rStyle w:val="881"/>
      </w:rPr>
      <w:t xml:space="preserve">2</w:t>
    </w:r>
    <w:r>
      <w:rPr>
        <w:rStyle w:val="881"/>
      </w:rPr>
      <w:fldChar w:fldCharType="end"/>
    </w:r>
    <w:r>
      <w:rPr>
        <w:rStyle w:val="881"/>
      </w:rPr>
    </w:r>
    <w:r>
      <w:rPr>
        <w:rStyle w:val="881"/>
      </w:rPr>
    </w:r>
  </w:p>
  <w:p>
    <w:pPr>
      <w:pStyle w:val="731"/>
      <w:rPr>
        <w:rStyle w:val="881"/>
      </w:rPr>
      <w:framePr w:wrap="auto" w:vAnchor="text" w:hAnchor="page" w:x="6382" w:y="1"/>
    </w:pPr>
    <w:r>
      <w:rPr>
        <w:rStyle w:val="881"/>
      </w:rPr>
    </w:r>
    <w:r>
      <w:rPr>
        <w:rStyle w:val="881"/>
      </w:rPr>
    </w:r>
    <w:r>
      <w:rPr>
        <w:rStyle w:val="881"/>
      </w:rPr>
    </w:r>
  </w:p>
  <w:p>
    <w:pPr>
      <w:pStyle w:val="731"/>
      <w:jc w:val="center"/>
      <w:rPr>
        <w:lang w:val="en-US"/>
      </w:rPr>
    </w:pPr>
    <w:r>
      <w:rPr>
        <w:lang w:val="en-US"/>
      </w:rPr>
    </w:r>
    <w:r>
      <w:rPr>
        <w:lang w:val="en-US"/>
      </w:rPr>
    </w:r>
    <w:r>
      <w:rPr>
        <w:lang w:val="en-US"/>
      </w:rPr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83">
    <w:name w:val="Heading 2 Char"/>
    <w:basedOn w:val="709"/>
    <w:link w:val="701"/>
    <w:uiPriority w:val="9"/>
    <w:rPr>
      <w:rFonts w:ascii="Arial" w:hAnsi="Arial" w:eastAsia="Arial" w:cs="Arial"/>
      <w:sz w:val="34"/>
    </w:rPr>
  </w:style>
  <w:style w:type="character" w:styleId="684">
    <w:name w:val="Heading 3 Char"/>
    <w:basedOn w:val="709"/>
    <w:link w:val="702"/>
    <w:uiPriority w:val="9"/>
    <w:rPr>
      <w:rFonts w:ascii="Arial" w:hAnsi="Arial" w:eastAsia="Arial" w:cs="Arial"/>
      <w:sz w:val="30"/>
      <w:szCs w:val="30"/>
    </w:rPr>
  </w:style>
  <w:style w:type="character" w:styleId="685">
    <w:name w:val="Heading 4 Char"/>
    <w:basedOn w:val="709"/>
    <w:link w:val="703"/>
    <w:uiPriority w:val="9"/>
    <w:rPr>
      <w:rFonts w:ascii="Arial" w:hAnsi="Arial" w:eastAsia="Arial" w:cs="Arial"/>
      <w:b/>
      <w:bCs/>
      <w:sz w:val="26"/>
      <w:szCs w:val="26"/>
    </w:rPr>
  </w:style>
  <w:style w:type="character" w:styleId="686">
    <w:name w:val="Heading 5 Char"/>
    <w:basedOn w:val="709"/>
    <w:link w:val="704"/>
    <w:uiPriority w:val="9"/>
    <w:rPr>
      <w:rFonts w:ascii="Arial" w:hAnsi="Arial" w:eastAsia="Arial" w:cs="Arial"/>
      <w:b/>
      <w:bCs/>
      <w:sz w:val="24"/>
      <w:szCs w:val="24"/>
    </w:rPr>
  </w:style>
  <w:style w:type="character" w:styleId="687">
    <w:name w:val="Heading 6 Char"/>
    <w:basedOn w:val="709"/>
    <w:link w:val="705"/>
    <w:uiPriority w:val="9"/>
    <w:rPr>
      <w:rFonts w:ascii="Arial" w:hAnsi="Arial" w:eastAsia="Arial" w:cs="Arial"/>
      <w:b/>
      <w:bCs/>
      <w:sz w:val="22"/>
      <w:szCs w:val="22"/>
    </w:rPr>
  </w:style>
  <w:style w:type="character" w:styleId="688">
    <w:name w:val="Heading 7 Char"/>
    <w:basedOn w:val="709"/>
    <w:link w:val="70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89">
    <w:name w:val="Heading 8 Char"/>
    <w:basedOn w:val="709"/>
    <w:link w:val="707"/>
    <w:uiPriority w:val="9"/>
    <w:rPr>
      <w:rFonts w:ascii="Arial" w:hAnsi="Arial" w:eastAsia="Arial" w:cs="Arial"/>
      <w:i/>
      <w:iCs/>
      <w:sz w:val="22"/>
      <w:szCs w:val="22"/>
    </w:rPr>
  </w:style>
  <w:style w:type="character" w:styleId="690">
    <w:name w:val="Title Char"/>
    <w:basedOn w:val="709"/>
    <w:link w:val="723"/>
    <w:uiPriority w:val="10"/>
    <w:rPr>
      <w:sz w:val="48"/>
      <w:szCs w:val="48"/>
    </w:rPr>
  </w:style>
  <w:style w:type="character" w:styleId="691">
    <w:name w:val="Subtitle Char"/>
    <w:basedOn w:val="709"/>
    <w:link w:val="725"/>
    <w:uiPriority w:val="11"/>
    <w:rPr>
      <w:sz w:val="24"/>
      <w:szCs w:val="24"/>
    </w:rPr>
  </w:style>
  <w:style w:type="character" w:styleId="692">
    <w:name w:val="Quote Char"/>
    <w:link w:val="727"/>
    <w:uiPriority w:val="29"/>
    <w:rPr>
      <w:i/>
    </w:rPr>
  </w:style>
  <w:style w:type="character" w:styleId="693">
    <w:name w:val="Intense Quote Char"/>
    <w:link w:val="729"/>
    <w:uiPriority w:val="30"/>
    <w:rPr>
      <w:i/>
    </w:rPr>
  </w:style>
  <w:style w:type="character" w:styleId="694">
    <w:name w:val="Header Char"/>
    <w:basedOn w:val="709"/>
    <w:link w:val="731"/>
    <w:uiPriority w:val="99"/>
  </w:style>
  <w:style w:type="character" w:styleId="695">
    <w:name w:val="Footer Char"/>
    <w:basedOn w:val="709"/>
    <w:link w:val="733"/>
    <w:uiPriority w:val="99"/>
  </w:style>
  <w:style w:type="character" w:styleId="696">
    <w:name w:val="Caption Char"/>
    <w:basedOn w:val="709"/>
    <w:link w:val="735"/>
    <w:uiPriority w:val="35"/>
    <w:rPr>
      <w:b/>
      <w:bCs/>
      <w:color w:val="4f81bd" w:themeColor="accent1"/>
      <w:sz w:val="18"/>
      <w:szCs w:val="18"/>
    </w:rPr>
  </w:style>
  <w:style w:type="character" w:styleId="697">
    <w:name w:val="Footnote Text Char"/>
    <w:link w:val="864"/>
    <w:uiPriority w:val="99"/>
    <w:rPr>
      <w:sz w:val="18"/>
    </w:rPr>
  </w:style>
  <w:style w:type="character" w:styleId="698">
    <w:name w:val="Endnote Text Char"/>
    <w:link w:val="867"/>
    <w:uiPriority w:val="99"/>
    <w:rPr>
      <w:sz w:val="20"/>
    </w:rPr>
  </w:style>
  <w:style w:type="paragraph" w:styleId="699" w:default="1">
    <w:name w:val="Normal"/>
    <w:qFormat/>
    <w:pPr>
      <w:widowControl w:val="off"/>
    </w:pPr>
  </w:style>
  <w:style w:type="paragraph" w:styleId="700">
    <w:name w:val="Heading 1"/>
    <w:basedOn w:val="699"/>
    <w:next w:val="699"/>
    <w:link w:val="884"/>
    <w:qFormat/>
    <w:pPr>
      <w:ind w:left="5580" w:right="-257"/>
      <w:jc w:val="both"/>
      <w:keepNext/>
      <w:widowControl/>
      <w:outlineLvl w:val="0"/>
    </w:pPr>
    <w:rPr>
      <w:sz w:val="24"/>
      <w:szCs w:val="24"/>
      <w:lang w:val="en-US" w:eastAsia="en-US"/>
    </w:rPr>
  </w:style>
  <w:style w:type="paragraph" w:styleId="701">
    <w:name w:val="Heading 2"/>
    <w:basedOn w:val="699"/>
    <w:next w:val="699"/>
    <w:link w:val="713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702">
    <w:name w:val="Heading 3"/>
    <w:basedOn w:val="699"/>
    <w:next w:val="699"/>
    <w:link w:val="714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703">
    <w:name w:val="Heading 4"/>
    <w:basedOn w:val="699"/>
    <w:next w:val="699"/>
    <w:link w:val="715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704">
    <w:name w:val="Heading 5"/>
    <w:basedOn w:val="699"/>
    <w:next w:val="699"/>
    <w:link w:val="716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705">
    <w:name w:val="Heading 6"/>
    <w:basedOn w:val="699"/>
    <w:next w:val="699"/>
    <w:link w:val="717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706">
    <w:name w:val="Heading 7"/>
    <w:basedOn w:val="699"/>
    <w:next w:val="699"/>
    <w:link w:val="718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707">
    <w:name w:val="Heading 8"/>
    <w:basedOn w:val="699"/>
    <w:next w:val="699"/>
    <w:link w:val="71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708">
    <w:name w:val="Heading 9"/>
    <w:basedOn w:val="699"/>
    <w:next w:val="699"/>
    <w:link w:val="885"/>
    <w:unhideWhenUsed/>
    <w:qFormat/>
    <w:pPr>
      <w:spacing w:before="240" w:after="60"/>
      <w:outlineLvl w:val="8"/>
    </w:pPr>
    <w:rPr>
      <w:rFonts w:ascii="Calibri Light" w:hAnsi="Calibri Light"/>
      <w:sz w:val="22"/>
      <w:szCs w:val="22"/>
      <w:lang w:val="en-US" w:eastAsia="en-US"/>
    </w:rPr>
  </w:style>
  <w:style w:type="character" w:styleId="709" w:default="1">
    <w:name w:val="Default Paragraph Font"/>
    <w:uiPriority w:val="1"/>
    <w:semiHidden/>
    <w:unhideWhenUsed/>
  </w:style>
  <w:style w:type="table" w:styleId="710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11" w:default="1">
    <w:name w:val="No List"/>
    <w:uiPriority w:val="99"/>
    <w:semiHidden/>
    <w:unhideWhenUsed/>
  </w:style>
  <w:style w:type="character" w:styleId="712" w:customStyle="1">
    <w:name w:val="Heading 1 Char"/>
    <w:uiPriority w:val="9"/>
    <w:rPr>
      <w:rFonts w:ascii="Arial" w:hAnsi="Arial" w:eastAsia="Arial" w:cs="Arial"/>
      <w:sz w:val="40"/>
      <w:szCs w:val="40"/>
    </w:rPr>
  </w:style>
  <w:style w:type="character" w:styleId="713" w:customStyle="1">
    <w:name w:val="Заголовок 2 Знак"/>
    <w:link w:val="701"/>
    <w:uiPriority w:val="9"/>
    <w:rPr>
      <w:rFonts w:ascii="Arial" w:hAnsi="Arial" w:eastAsia="Arial" w:cs="Arial"/>
      <w:sz w:val="34"/>
    </w:rPr>
  </w:style>
  <w:style w:type="character" w:styleId="714" w:customStyle="1">
    <w:name w:val="Заголовок 3 Знак"/>
    <w:link w:val="702"/>
    <w:uiPriority w:val="9"/>
    <w:rPr>
      <w:rFonts w:ascii="Arial" w:hAnsi="Arial" w:eastAsia="Arial" w:cs="Arial"/>
      <w:sz w:val="30"/>
      <w:szCs w:val="30"/>
    </w:rPr>
  </w:style>
  <w:style w:type="character" w:styleId="715" w:customStyle="1">
    <w:name w:val="Заголовок 4 Знак"/>
    <w:link w:val="703"/>
    <w:uiPriority w:val="9"/>
    <w:rPr>
      <w:rFonts w:ascii="Arial" w:hAnsi="Arial" w:eastAsia="Arial" w:cs="Arial"/>
      <w:b/>
      <w:bCs/>
      <w:sz w:val="26"/>
      <w:szCs w:val="26"/>
    </w:rPr>
  </w:style>
  <w:style w:type="character" w:styleId="716" w:customStyle="1">
    <w:name w:val="Заголовок 5 Знак"/>
    <w:link w:val="704"/>
    <w:uiPriority w:val="9"/>
    <w:rPr>
      <w:rFonts w:ascii="Arial" w:hAnsi="Arial" w:eastAsia="Arial" w:cs="Arial"/>
      <w:b/>
      <w:bCs/>
      <w:sz w:val="24"/>
      <w:szCs w:val="24"/>
    </w:rPr>
  </w:style>
  <w:style w:type="character" w:styleId="717" w:customStyle="1">
    <w:name w:val="Заголовок 6 Знак"/>
    <w:link w:val="705"/>
    <w:uiPriority w:val="9"/>
    <w:rPr>
      <w:rFonts w:ascii="Arial" w:hAnsi="Arial" w:eastAsia="Arial" w:cs="Arial"/>
      <w:b/>
      <w:bCs/>
      <w:sz w:val="22"/>
      <w:szCs w:val="22"/>
    </w:rPr>
  </w:style>
  <w:style w:type="character" w:styleId="718" w:customStyle="1">
    <w:name w:val="Заголовок 7 Знак"/>
    <w:link w:val="70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19" w:customStyle="1">
    <w:name w:val="Заголовок 8 Знак"/>
    <w:link w:val="707"/>
    <w:uiPriority w:val="9"/>
    <w:rPr>
      <w:rFonts w:ascii="Arial" w:hAnsi="Arial" w:eastAsia="Arial" w:cs="Arial"/>
      <w:i/>
      <w:iCs/>
      <w:sz w:val="22"/>
      <w:szCs w:val="22"/>
    </w:rPr>
  </w:style>
  <w:style w:type="character" w:styleId="720" w:customStyle="1">
    <w:name w:val="Heading 9 Char"/>
    <w:uiPriority w:val="9"/>
    <w:rPr>
      <w:rFonts w:ascii="Arial" w:hAnsi="Arial" w:eastAsia="Arial" w:cs="Arial"/>
      <w:i/>
      <w:iCs/>
      <w:sz w:val="21"/>
      <w:szCs w:val="21"/>
    </w:rPr>
  </w:style>
  <w:style w:type="paragraph" w:styleId="721">
    <w:name w:val="List Paragraph"/>
    <w:basedOn w:val="699"/>
    <w:uiPriority w:val="34"/>
    <w:qFormat/>
    <w:pPr>
      <w:contextualSpacing/>
      <w:ind w:left="720"/>
    </w:pPr>
  </w:style>
  <w:style w:type="paragraph" w:styleId="722">
    <w:name w:val="No Spacing"/>
    <w:uiPriority w:val="1"/>
    <w:qFormat/>
    <w:rPr>
      <w:lang w:eastAsia="zh-CN"/>
    </w:rPr>
  </w:style>
  <w:style w:type="paragraph" w:styleId="723">
    <w:name w:val="Title"/>
    <w:basedOn w:val="699"/>
    <w:next w:val="699"/>
    <w:link w:val="724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24" w:customStyle="1">
    <w:name w:val="Заголовок Знак"/>
    <w:link w:val="723"/>
    <w:uiPriority w:val="10"/>
    <w:rPr>
      <w:sz w:val="48"/>
      <w:szCs w:val="48"/>
    </w:rPr>
  </w:style>
  <w:style w:type="paragraph" w:styleId="725">
    <w:name w:val="Subtitle"/>
    <w:basedOn w:val="699"/>
    <w:next w:val="699"/>
    <w:link w:val="726"/>
    <w:uiPriority w:val="11"/>
    <w:qFormat/>
    <w:pPr>
      <w:spacing w:before="200" w:after="200"/>
    </w:pPr>
    <w:rPr>
      <w:sz w:val="24"/>
      <w:szCs w:val="24"/>
    </w:rPr>
  </w:style>
  <w:style w:type="character" w:styleId="726" w:customStyle="1">
    <w:name w:val="Подзаголовок Знак"/>
    <w:link w:val="725"/>
    <w:uiPriority w:val="11"/>
    <w:rPr>
      <w:sz w:val="24"/>
      <w:szCs w:val="24"/>
    </w:rPr>
  </w:style>
  <w:style w:type="paragraph" w:styleId="727">
    <w:name w:val="Quote"/>
    <w:basedOn w:val="699"/>
    <w:next w:val="699"/>
    <w:link w:val="728"/>
    <w:uiPriority w:val="29"/>
    <w:qFormat/>
    <w:pPr>
      <w:ind w:left="720" w:right="720"/>
    </w:pPr>
    <w:rPr>
      <w:i/>
    </w:rPr>
  </w:style>
  <w:style w:type="character" w:styleId="728" w:customStyle="1">
    <w:name w:val="Цитата 2 Знак"/>
    <w:link w:val="727"/>
    <w:uiPriority w:val="29"/>
    <w:rPr>
      <w:i/>
    </w:rPr>
  </w:style>
  <w:style w:type="paragraph" w:styleId="729">
    <w:name w:val="Intense Quote"/>
    <w:basedOn w:val="699"/>
    <w:next w:val="699"/>
    <w:link w:val="730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30" w:customStyle="1">
    <w:name w:val="Выделенная цитата Знак"/>
    <w:link w:val="729"/>
    <w:uiPriority w:val="30"/>
    <w:rPr>
      <w:i/>
    </w:rPr>
  </w:style>
  <w:style w:type="paragraph" w:styleId="731">
    <w:name w:val="Header"/>
    <w:basedOn w:val="699"/>
    <w:link w:val="732"/>
    <w:pPr>
      <w:widowControl/>
      <w:tabs>
        <w:tab w:val="center" w:pos="4677" w:leader="none"/>
        <w:tab w:val="right" w:pos="9355" w:leader="none"/>
      </w:tabs>
    </w:pPr>
  </w:style>
  <w:style w:type="character" w:styleId="732" w:customStyle="1">
    <w:name w:val="Верхний колонтитул Знак"/>
    <w:link w:val="731"/>
    <w:uiPriority w:val="99"/>
  </w:style>
  <w:style w:type="paragraph" w:styleId="733">
    <w:name w:val="Footer"/>
    <w:basedOn w:val="699"/>
    <w:link w:val="734"/>
    <w:uiPriority w:val="99"/>
    <w:unhideWhenUsed/>
    <w:pPr>
      <w:tabs>
        <w:tab w:val="center" w:pos="7143" w:leader="none"/>
        <w:tab w:val="right" w:pos="14287" w:leader="none"/>
      </w:tabs>
    </w:pPr>
  </w:style>
  <w:style w:type="character" w:styleId="734" w:customStyle="1">
    <w:name w:val="Нижний колонтитул Знак"/>
    <w:link w:val="733"/>
    <w:uiPriority w:val="99"/>
  </w:style>
  <w:style w:type="paragraph" w:styleId="735">
    <w:name w:val="Caption"/>
    <w:basedOn w:val="699"/>
    <w:next w:val="699"/>
    <w:link w:val="736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styleId="736" w:customStyle="1">
    <w:name w:val="Название объекта Знак"/>
    <w:link w:val="735"/>
    <w:uiPriority w:val="35"/>
    <w:rPr>
      <w:b/>
      <w:bCs/>
      <w:color w:val="4f81bd"/>
      <w:sz w:val="18"/>
      <w:szCs w:val="18"/>
    </w:rPr>
  </w:style>
  <w:style w:type="table" w:styleId="737">
    <w:name w:val="Table Grid"/>
    <w:basedOn w:val="710"/>
    <w:tblPr/>
  </w:style>
  <w:style w:type="table" w:styleId="738" w:customStyle="1">
    <w:name w:val="Table Grid Light"/>
    <w:uiPriority w:val="59"/>
    <w:rPr>
      <w:lang w:eastAsia="zh-CN"/>
    </w:rPr>
    <w:tblPr>
      <w:tblInd w:w="0" w:type="dxa"/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39">
    <w:name w:val="Plain Table 1"/>
    <w:uiPriority w:val="59"/>
    <w:rPr>
      <w:lang w:eastAsia="zh-CN"/>
    </w:rPr>
    <w:tblPr>
      <w:tblInd w:w="0" w:type="dxa"/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40">
    <w:name w:val="Plain Table 2"/>
    <w:uiPriority w:val="59"/>
    <w:rPr>
      <w:lang w:eastAsia="zh-CN"/>
    </w:rPr>
    <w:tblPr>
      <w:tblInd w:w="0" w:type="dxa"/>
      <w:tblBorders>
        <w:top w:val="single" w:color="000000" w:sz="4" w:space="0"/>
        <w:left w:val="none" w:color="000000" w:sz="4" w:space="0"/>
        <w:bottom w:val="single" w:color="000000" w:sz="4" w:space="0"/>
        <w:right w:val="non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41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42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43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44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89898" w:sz="4" w:space="0"/>
        <w:left w:val="single" w:color="989898" w:sz="4" w:space="0"/>
        <w:bottom w:val="single" w:color="989898" w:sz="4" w:space="0"/>
        <w:right w:val="single" w:color="989898" w:sz="4" w:space="0"/>
        <w:insideH w:val="single" w:color="989898" w:sz="4" w:space="0"/>
        <w:insideV w:val="single" w:color="98989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5" w:customStyle="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6" w:customStyle="1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7" w:customStyle="1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8" w:customStyle="1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9" w:customStyle="1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0" w:customStyle="1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1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6A6A6A" w:sz="4" w:space="0"/>
        <w:insideH w:val="single" w:color="6A6A6A" w:sz="4" w:space="0"/>
        <w:insideV w:val="single" w:color="6A6A6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2" w:customStyle="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5D8AC2" w:sz="4" w:space="0"/>
        <w:insideH w:val="single" w:color="5D8AC2" w:sz="4" w:space="0"/>
        <w:insideV w:val="single" w:color="5D8AC2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3" w:customStyle="1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4" w:customStyle="1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5" w:customStyle="1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6" w:customStyle="1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7" w:customStyle="1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8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6A6A6A" w:sz="4" w:space="0"/>
        <w:insideH w:val="single" w:color="6A6A6A" w:sz="4" w:space="0"/>
        <w:insideV w:val="single" w:color="6A6A6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9" w:customStyle="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5D8AC2" w:sz="4" w:space="0"/>
        <w:insideH w:val="single" w:color="5D8AC2" w:sz="4" w:space="0"/>
        <w:insideV w:val="single" w:color="5D8AC2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0" w:customStyle="1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1" w:customStyle="1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2" w:customStyle="1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3" w:customStyle="1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4" w:customStyle="1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5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6F6F6F" w:sz="4" w:space="0"/>
        <w:left w:val="single" w:color="6F6F6F" w:sz="4" w:space="0"/>
        <w:bottom w:val="single" w:color="6F6F6F" w:sz="4" w:space="0"/>
        <w:right w:val="single" w:color="6F6F6F" w:sz="4" w:space="0"/>
        <w:insideH w:val="single" w:color="6F6F6F" w:sz="4" w:space="0"/>
        <w:insideV w:val="single" w:color="6F6F6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6" w:customStyle="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  <w:insideV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7" w:customStyle="1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  <w:insideV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8" w:customStyle="1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  <w:insideV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9" w:customStyle="1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  <w:insideV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0" w:customStyle="1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1" w:customStyle="1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2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bfbfbf" w:fill="bfbfbf"/>
      <w:tblCellMar>
        <w:left w:w="0" w:type="dxa"/>
        <w:top w:w="0" w:type="dxa"/>
        <w:right w:w="0" w:type="dxa"/>
        <w:bottom w:w="0" w:type="dxa"/>
      </w:tblCellMar>
    </w:tblPr>
  </w:style>
  <w:style w:type="table" w:styleId="773" w:customStyle="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dae5f1" w:fill="dae5f1"/>
      <w:tblCellMar>
        <w:left w:w="0" w:type="dxa"/>
        <w:top w:w="0" w:type="dxa"/>
        <w:right w:w="0" w:type="dxa"/>
        <w:bottom w:w="0" w:type="dxa"/>
      </w:tblCellMar>
    </w:tblPr>
  </w:style>
  <w:style w:type="table" w:styleId="774" w:customStyle="1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f2dcdc" w:fill="f2dcdc"/>
      <w:tblCellMar>
        <w:left w:w="0" w:type="dxa"/>
        <w:top w:w="0" w:type="dxa"/>
        <w:right w:w="0" w:type="dxa"/>
        <w:bottom w:w="0" w:type="dxa"/>
      </w:tblCellMar>
    </w:tblPr>
  </w:style>
  <w:style w:type="table" w:styleId="775" w:customStyle="1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eaf1dc" w:fill="eaf1dc"/>
      <w:tblCellMar>
        <w:left w:w="0" w:type="dxa"/>
        <w:top w:w="0" w:type="dxa"/>
        <w:right w:w="0" w:type="dxa"/>
        <w:bottom w:w="0" w:type="dxa"/>
      </w:tblCellMar>
    </w:tblPr>
  </w:style>
  <w:style w:type="table" w:styleId="776" w:customStyle="1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e5dfec" w:fill="e5dfec"/>
      <w:tblCellMar>
        <w:left w:w="0" w:type="dxa"/>
        <w:top w:w="0" w:type="dxa"/>
        <w:right w:w="0" w:type="dxa"/>
        <w:bottom w:w="0" w:type="dxa"/>
      </w:tblCellMar>
    </w:tblPr>
  </w:style>
  <w:style w:type="table" w:styleId="777" w:customStyle="1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daeef3" w:fill="daeef3"/>
      <w:tblCellMar>
        <w:left w:w="0" w:type="dxa"/>
        <w:top w:w="0" w:type="dxa"/>
        <w:right w:w="0" w:type="dxa"/>
        <w:bottom w:w="0" w:type="dxa"/>
      </w:tblCellMar>
    </w:tblPr>
  </w:style>
  <w:style w:type="table" w:styleId="778" w:customStyle="1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fde9d8" w:fill="fde9d8"/>
      <w:tblCellMar>
        <w:left w:w="0" w:type="dxa"/>
        <w:top w:w="0" w:type="dxa"/>
        <w:right w:w="0" w:type="dxa"/>
        <w:bottom w:w="0" w:type="dxa"/>
      </w:tblCellMar>
    </w:tblPr>
  </w:style>
  <w:style w:type="table" w:styleId="779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7F7F7F" w:sz="4" w:space="0"/>
        <w:left w:val="single" w:color="7F7F7F" w:sz="4" w:space="0"/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0" w:customStyle="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A6BFDD" w:sz="4" w:space="0"/>
        <w:left w:val="single" w:color="A6BFDD" w:sz="4" w:space="0"/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1" w:customStyle="1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2" w:customStyle="1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ABB59" w:sz="4" w:space="0"/>
        <w:left w:val="single" w:color="9ABB59" w:sz="4" w:space="0"/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3" w:customStyle="1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4" w:customStyle="1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BACC6" w:sz="4" w:space="0"/>
        <w:left w:val="single" w:color="4BACC6" w:sz="4" w:space="0"/>
        <w:bottom w:val="single" w:color="4BACC6" w:sz="4" w:space="0"/>
        <w:right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5" w:customStyle="1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79646" w:sz="4" w:space="0"/>
        <w:left w:val="single" w:color="F79646" w:sz="4" w:space="0"/>
        <w:bottom w:val="single" w:color="F79646" w:sz="4" w:space="0"/>
        <w:right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6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7" w:customStyle="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8" w:customStyle="1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9" w:customStyle="1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0" w:customStyle="1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1" w:customStyle="1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2" w:customStyle="1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3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94" w:customStyle="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95" w:customStyle="1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96" w:customStyle="1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97" w:customStyle="1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98" w:customStyle="1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99" w:customStyle="1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00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6F6F6F" w:sz="4" w:space="0"/>
        <w:bottom w:val="single" w:color="6F6F6F" w:sz="4" w:space="0"/>
        <w:insideH w:val="single" w:color="6F6F6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1" w:customStyle="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BB7D9" w:sz="4" w:space="0"/>
        <w:bottom w:val="single" w:color="9BB7D9" w:sz="4" w:space="0"/>
        <w:insideH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2" w:customStyle="1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B9B9A" w:sz="4" w:space="0"/>
        <w:bottom w:val="single" w:color="DB9B9A" w:sz="4" w:space="0"/>
        <w:insideH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3" w:customStyle="1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6D8A1" w:sz="4" w:space="0"/>
        <w:bottom w:val="single" w:color="C6D8A1" w:sz="4" w:space="0"/>
        <w:insideH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4" w:customStyle="1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A7CA" w:sz="4" w:space="0"/>
        <w:bottom w:val="single" w:color="B7A7CA" w:sz="4" w:space="0"/>
        <w:insideH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5" w:customStyle="1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9D0DE" w:sz="4" w:space="0"/>
        <w:bottom w:val="single" w:color="99D0DE" w:sz="4" w:space="0"/>
        <w:insideH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6" w:customStyle="1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396" w:sz="4" w:space="0"/>
        <w:bottom w:val="single" w:color="FAC396" w:sz="4" w:space="0"/>
        <w:insideH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7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8" w:customStyle="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F81BD" w:sz="4" w:space="0"/>
        <w:left w:val="single" w:color="4F81BD" w:sz="4" w:space="0"/>
        <w:bottom w:val="single" w:color="4F81BD" w:sz="4" w:space="0"/>
        <w:right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9" w:customStyle="1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0" w:customStyle="1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3D69B" w:sz="4" w:space="0"/>
        <w:left w:val="single" w:color="C3D69B" w:sz="4" w:space="0"/>
        <w:bottom w:val="single" w:color="C3D69B" w:sz="4" w:space="0"/>
        <w:right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1" w:customStyle="1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2" w:customStyle="1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2CCDC" w:sz="4" w:space="0"/>
        <w:left w:val="single" w:color="92CCDC" w:sz="4" w:space="0"/>
        <w:bottom w:val="single" w:color="92CCDC" w:sz="4" w:space="0"/>
        <w:right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3" w:customStyle="1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090" w:sz="4" w:space="0"/>
        <w:left w:val="single" w:color="FAC090" w:sz="4" w:space="0"/>
        <w:bottom w:val="single" w:color="FAC090" w:sz="4" w:space="0"/>
        <w:right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4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5" w:customStyle="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6" w:customStyle="1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7" w:customStyle="1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8" w:customStyle="1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9" w:customStyle="1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0" w:customStyle="1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1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7F7F7F" w:sz="32" w:space="0"/>
        <w:left w:val="single" w:color="7F7F7F" w:sz="32" w:space="0"/>
        <w:bottom w:val="single" w:color="7F7F7F" w:sz="32" w:space="0"/>
        <w:right w:val="single" w:color="7F7F7F" w:sz="32" w:space="0"/>
      </w:tblBorders>
      <w:shd w:val="clear" w:color="7f7f7f" w:fill="7f7f7f"/>
      <w:tblCellMar>
        <w:left w:w="0" w:type="dxa"/>
        <w:top w:w="0" w:type="dxa"/>
        <w:right w:w="0" w:type="dxa"/>
        <w:bottom w:w="0" w:type="dxa"/>
      </w:tblCellMar>
    </w:tblPr>
  </w:style>
  <w:style w:type="table" w:styleId="822" w:customStyle="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F81BD" w:sz="32" w:space="0"/>
        <w:left w:val="single" w:color="4F81BD" w:sz="32" w:space="0"/>
        <w:bottom w:val="single" w:color="4F81BD" w:sz="32" w:space="0"/>
        <w:right w:val="single" w:color="4F81BD" w:sz="32" w:space="0"/>
      </w:tblBorders>
      <w:shd w:val="clear" w:color="4f81bd" w:fill="4f81bd"/>
      <w:tblCellMar>
        <w:left w:w="0" w:type="dxa"/>
        <w:top w:w="0" w:type="dxa"/>
        <w:right w:w="0" w:type="dxa"/>
        <w:bottom w:w="0" w:type="dxa"/>
      </w:tblCellMar>
    </w:tblPr>
  </w:style>
  <w:style w:type="table" w:styleId="823" w:customStyle="1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32" w:space="0"/>
        <w:left w:val="single" w:color="D99695" w:sz="32" w:space="0"/>
        <w:bottom w:val="single" w:color="D99695" w:sz="32" w:space="0"/>
        <w:right w:val="single" w:color="D99695" w:sz="32" w:space="0"/>
      </w:tblBorders>
      <w:shd w:val="clear" w:color="d99695" w:fill="d99695"/>
      <w:tblCellMar>
        <w:left w:w="0" w:type="dxa"/>
        <w:top w:w="0" w:type="dxa"/>
        <w:right w:w="0" w:type="dxa"/>
        <w:bottom w:w="0" w:type="dxa"/>
      </w:tblCellMar>
    </w:tblPr>
  </w:style>
  <w:style w:type="table" w:styleId="824" w:customStyle="1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3D69B" w:sz="32" w:space="0"/>
        <w:left w:val="single" w:color="C3D69B" w:sz="32" w:space="0"/>
        <w:bottom w:val="single" w:color="C3D69B" w:sz="32" w:space="0"/>
        <w:right w:val="single" w:color="C3D69B" w:sz="32" w:space="0"/>
      </w:tblBorders>
      <w:shd w:val="clear" w:color="c3d69b" w:fill="c3d69b"/>
      <w:tblCellMar>
        <w:left w:w="0" w:type="dxa"/>
        <w:top w:w="0" w:type="dxa"/>
        <w:right w:w="0" w:type="dxa"/>
        <w:bottom w:w="0" w:type="dxa"/>
      </w:tblCellMar>
    </w:tblPr>
  </w:style>
  <w:style w:type="table" w:styleId="825" w:customStyle="1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32" w:space="0"/>
        <w:left w:val="single" w:color="B2A1C6" w:sz="32" w:space="0"/>
        <w:bottom w:val="single" w:color="B2A1C6" w:sz="32" w:space="0"/>
        <w:right w:val="single" w:color="B2A1C6" w:sz="32" w:space="0"/>
      </w:tblBorders>
      <w:shd w:val="clear" w:color="b2a1c6" w:fill="b2a1c6"/>
      <w:tblCellMar>
        <w:left w:w="0" w:type="dxa"/>
        <w:top w:w="0" w:type="dxa"/>
        <w:right w:w="0" w:type="dxa"/>
        <w:bottom w:w="0" w:type="dxa"/>
      </w:tblCellMar>
    </w:tblPr>
  </w:style>
  <w:style w:type="table" w:styleId="826" w:customStyle="1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2CCDC" w:sz="32" w:space="0"/>
        <w:left w:val="single" w:color="92CCDC" w:sz="32" w:space="0"/>
        <w:bottom w:val="single" w:color="92CCDC" w:sz="32" w:space="0"/>
        <w:right w:val="single" w:color="92CCDC" w:sz="32" w:space="0"/>
      </w:tblBorders>
      <w:shd w:val="clear" w:color="92ccdc" w:fill="92ccdc"/>
      <w:tblCellMar>
        <w:left w:w="0" w:type="dxa"/>
        <w:top w:w="0" w:type="dxa"/>
        <w:right w:w="0" w:type="dxa"/>
        <w:bottom w:w="0" w:type="dxa"/>
      </w:tblCellMar>
    </w:tblPr>
  </w:style>
  <w:style w:type="table" w:styleId="827" w:customStyle="1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090" w:sz="32" w:space="0"/>
        <w:left w:val="single" w:color="FAC090" w:sz="32" w:space="0"/>
        <w:bottom w:val="single" w:color="FAC090" w:sz="32" w:space="0"/>
        <w:right w:val="single" w:color="FAC090" w:sz="32" w:space="0"/>
      </w:tblBorders>
      <w:shd w:val="clear" w:color="fac090" w:fill="fac090"/>
      <w:tblCellMar>
        <w:left w:w="0" w:type="dxa"/>
        <w:top w:w="0" w:type="dxa"/>
        <w:right w:w="0" w:type="dxa"/>
        <w:bottom w:w="0" w:type="dxa"/>
      </w:tblCellMar>
    </w:tblPr>
  </w:style>
  <w:style w:type="table" w:styleId="828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7F7F7F" w:sz="4" w:space="0"/>
        <w:bottom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9" w:customStyle="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F81BD" w:sz="4" w:space="0"/>
        <w:bottom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0" w:customStyle="1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4" w:space="0"/>
        <w:bottom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1" w:customStyle="1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3D69B" w:sz="4" w:space="0"/>
        <w:bottom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2" w:customStyle="1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4" w:space="0"/>
        <w:bottom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3" w:customStyle="1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2CCDC" w:sz="4" w:space="0"/>
        <w:bottom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4" w:customStyle="1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090" w:sz="4" w:space="0"/>
        <w:bottom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5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6" w:customStyle="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7" w:customStyle="1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8" w:customStyle="1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9" w:customStyle="1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0" w:customStyle="1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1" w:customStyle="1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2" w:customStyle="1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43" w:customStyle="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44" w:customStyle="1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45" w:customStyle="1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46" w:customStyle="1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47" w:customStyle="1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48" w:customStyle="1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49" w:customStyle="1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95959" w:sz="4" w:space="0"/>
        <w:left w:val="single" w:color="595959" w:sz="4" w:space="0"/>
        <w:bottom w:val="single" w:color="595959" w:sz="4" w:space="0"/>
        <w:right w:val="single" w:color="595959" w:sz="4" w:space="0"/>
        <w:insideH w:val="single" w:color="595959" w:sz="4" w:space="0"/>
        <w:insideV w:val="single" w:color="5959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0" w:customStyle="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A4A71" w:sz="4" w:space="0"/>
        <w:left w:val="single" w:color="2A4A71" w:sz="4" w:space="0"/>
        <w:bottom w:val="single" w:color="2A4A71" w:sz="4" w:space="0"/>
        <w:right w:val="single" w:color="2A4A71" w:sz="4" w:space="0"/>
        <w:insideH w:val="single" w:color="2A4A71" w:sz="4" w:space="0"/>
        <w:insideV w:val="single" w:color="2A4A7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1" w:customStyle="1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732A29" w:sz="4" w:space="0"/>
        <w:left w:val="single" w:color="732A29" w:sz="4" w:space="0"/>
        <w:bottom w:val="single" w:color="732A29" w:sz="4" w:space="0"/>
        <w:right w:val="single" w:color="732A29" w:sz="4" w:space="0"/>
        <w:insideH w:val="single" w:color="732A29" w:sz="4" w:space="0"/>
        <w:insideV w:val="single" w:color="732A2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2" w:customStyle="1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B722E" w:sz="4" w:space="0"/>
        <w:left w:val="single" w:color="5B722E" w:sz="4" w:space="0"/>
        <w:bottom w:val="single" w:color="5B722E" w:sz="4" w:space="0"/>
        <w:right w:val="single" w:color="5B722E" w:sz="4" w:space="0"/>
        <w:insideH w:val="single" w:color="5B722E" w:sz="4" w:space="0"/>
        <w:insideV w:val="single" w:color="5B722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3" w:customStyle="1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4A395F" w:sz="4" w:space="0"/>
        <w:left w:val="single" w:color="4A395F" w:sz="4" w:space="0"/>
        <w:bottom w:val="single" w:color="4A395F" w:sz="4" w:space="0"/>
        <w:right w:val="single" w:color="4A395F" w:sz="4" w:space="0"/>
        <w:insideH w:val="single" w:color="4A395F" w:sz="4" w:space="0"/>
        <w:insideV w:val="single" w:color="4A395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4" w:customStyle="1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66779" w:sz="4" w:space="0"/>
        <w:left w:val="single" w:color="266779" w:sz="4" w:space="0"/>
        <w:bottom w:val="single" w:color="266779" w:sz="4" w:space="0"/>
        <w:right w:val="single" w:color="266779" w:sz="4" w:space="0"/>
        <w:insideH w:val="single" w:color="266779" w:sz="4" w:space="0"/>
        <w:insideV w:val="single" w:color="26677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5" w:customStyle="1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B15407" w:sz="4" w:space="0"/>
        <w:left w:val="single" w:color="B15407" w:sz="4" w:space="0"/>
        <w:bottom w:val="single" w:color="B15407" w:sz="4" w:space="0"/>
        <w:right w:val="single" w:color="B15407" w:sz="4" w:space="0"/>
        <w:insideH w:val="single" w:color="B15407" w:sz="4" w:space="0"/>
        <w:insideV w:val="single" w:color="B15407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6" w:customStyle="1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D9D9" w:sz="4" w:space="0"/>
        <w:left w:val="single" w:color="D9D9D9" w:sz="4" w:space="0"/>
        <w:bottom w:val="single" w:color="D9D9D9" w:sz="4" w:space="0"/>
        <w:right w:val="single" w:color="D9D9D9" w:sz="4" w:space="0"/>
        <w:insideH w:val="single" w:color="D9D9D9" w:sz="4" w:space="0"/>
        <w:insideV w:val="single" w:color="D9D9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7" w:customStyle="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8" w:customStyle="1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9" w:customStyle="1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0" w:customStyle="1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1" w:customStyle="1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2" w:customStyle="1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character" w:styleId="863">
    <w:name w:val="Hyperlink"/>
    <w:uiPriority w:val="99"/>
    <w:unhideWhenUsed/>
    <w:rPr>
      <w:color w:val="0000ff"/>
      <w:u w:val="single"/>
    </w:rPr>
  </w:style>
  <w:style w:type="paragraph" w:styleId="864">
    <w:name w:val="footnote text"/>
    <w:basedOn w:val="699"/>
    <w:link w:val="865"/>
    <w:uiPriority w:val="99"/>
    <w:semiHidden/>
    <w:unhideWhenUsed/>
    <w:pPr>
      <w:spacing w:after="40"/>
    </w:pPr>
    <w:rPr>
      <w:sz w:val="18"/>
    </w:rPr>
  </w:style>
  <w:style w:type="character" w:styleId="865" w:customStyle="1">
    <w:name w:val="Текст сноски Знак"/>
    <w:link w:val="864"/>
    <w:uiPriority w:val="99"/>
    <w:rPr>
      <w:sz w:val="18"/>
    </w:rPr>
  </w:style>
  <w:style w:type="character" w:styleId="866">
    <w:name w:val="footnote reference"/>
    <w:uiPriority w:val="99"/>
    <w:unhideWhenUsed/>
    <w:rPr>
      <w:vertAlign w:val="superscript"/>
    </w:rPr>
  </w:style>
  <w:style w:type="paragraph" w:styleId="867">
    <w:name w:val="endnote text"/>
    <w:basedOn w:val="699"/>
    <w:link w:val="868"/>
    <w:uiPriority w:val="99"/>
    <w:semiHidden/>
    <w:unhideWhenUsed/>
  </w:style>
  <w:style w:type="character" w:styleId="868" w:customStyle="1">
    <w:name w:val="Текст концевой сноски Знак"/>
    <w:link w:val="867"/>
    <w:uiPriority w:val="99"/>
    <w:rPr>
      <w:sz w:val="20"/>
    </w:rPr>
  </w:style>
  <w:style w:type="character" w:styleId="869">
    <w:name w:val="endnote reference"/>
    <w:uiPriority w:val="99"/>
    <w:semiHidden/>
    <w:unhideWhenUsed/>
    <w:rPr>
      <w:vertAlign w:val="superscript"/>
    </w:rPr>
  </w:style>
  <w:style w:type="paragraph" w:styleId="870">
    <w:name w:val="toc 1"/>
    <w:basedOn w:val="699"/>
    <w:next w:val="699"/>
    <w:uiPriority w:val="39"/>
    <w:unhideWhenUsed/>
    <w:pPr>
      <w:spacing w:after="57"/>
    </w:pPr>
  </w:style>
  <w:style w:type="paragraph" w:styleId="871">
    <w:name w:val="toc 2"/>
    <w:basedOn w:val="699"/>
    <w:next w:val="699"/>
    <w:uiPriority w:val="39"/>
    <w:unhideWhenUsed/>
    <w:pPr>
      <w:ind w:left="283"/>
      <w:spacing w:after="57"/>
    </w:pPr>
  </w:style>
  <w:style w:type="paragraph" w:styleId="872">
    <w:name w:val="toc 3"/>
    <w:basedOn w:val="699"/>
    <w:next w:val="699"/>
    <w:uiPriority w:val="39"/>
    <w:unhideWhenUsed/>
    <w:pPr>
      <w:ind w:left="567"/>
      <w:spacing w:after="57"/>
    </w:pPr>
  </w:style>
  <w:style w:type="paragraph" w:styleId="873">
    <w:name w:val="toc 4"/>
    <w:basedOn w:val="699"/>
    <w:next w:val="699"/>
    <w:uiPriority w:val="39"/>
    <w:unhideWhenUsed/>
    <w:pPr>
      <w:ind w:left="850"/>
      <w:spacing w:after="57"/>
    </w:pPr>
  </w:style>
  <w:style w:type="paragraph" w:styleId="874">
    <w:name w:val="toc 5"/>
    <w:basedOn w:val="699"/>
    <w:next w:val="699"/>
    <w:uiPriority w:val="39"/>
    <w:unhideWhenUsed/>
    <w:pPr>
      <w:ind w:left="1134"/>
      <w:spacing w:after="57"/>
    </w:pPr>
  </w:style>
  <w:style w:type="paragraph" w:styleId="875">
    <w:name w:val="toc 6"/>
    <w:basedOn w:val="699"/>
    <w:next w:val="699"/>
    <w:uiPriority w:val="39"/>
    <w:unhideWhenUsed/>
    <w:pPr>
      <w:ind w:left="1417"/>
      <w:spacing w:after="57"/>
    </w:pPr>
  </w:style>
  <w:style w:type="paragraph" w:styleId="876">
    <w:name w:val="toc 7"/>
    <w:basedOn w:val="699"/>
    <w:next w:val="699"/>
    <w:uiPriority w:val="39"/>
    <w:unhideWhenUsed/>
    <w:pPr>
      <w:ind w:left="1701"/>
      <w:spacing w:after="57"/>
    </w:pPr>
  </w:style>
  <w:style w:type="paragraph" w:styleId="877">
    <w:name w:val="toc 8"/>
    <w:basedOn w:val="699"/>
    <w:next w:val="699"/>
    <w:uiPriority w:val="39"/>
    <w:unhideWhenUsed/>
    <w:pPr>
      <w:ind w:left="1984"/>
      <w:spacing w:after="57"/>
    </w:pPr>
  </w:style>
  <w:style w:type="paragraph" w:styleId="878">
    <w:name w:val="toc 9"/>
    <w:basedOn w:val="699"/>
    <w:next w:val="699"/>
    <w:uiPriority w:val="39"/>
    <w:unhideWhenUsed/>
    <w:pPr>
      <w:ind w:left="2268"/>
      <w:spacing w:after="57"/>
    </w:pPr>
  </w:style>
  <w:style w:type="paragraph" w:styleId="879">
    <w:name w:val="TOC Heading"/>
    <w:uiPriority w:val="39"/>
    <w:unhideWhenUsed/>
    <w:rPr>
      <w:lang w:eastAsia="zh-CN"/>
    </w:rPr>
  </w:style>
  <w:style w:type="paragraph" w:styleId="880">
    <w:name w:val="table of figures"/>
    <w:basedOn w:val="699"/>
    <w:next w:val="699"/>
    <w:uiPriority w:val="99"/>
    <w:unhideWhenUsed/>
  </w:style>
  <w:style w:type="character" w:styleId="881">
    <w:name w:val="page number"/>
    <w:basedOn w:val="709"/>
  </w:style>
  <w:style w:type="paragraph" w:styleId="882">
    <w:name w:val="Balloon Text"/>
    <w:basedOn w:val="699"/>
    <w:semiHidden/>
    <w:rPr>
      <w:rFonts w:ascii="Tahoma" w:hAnsi="Tahoma" w:cs="Tahoma"/>
      <w:sz w:val="16"/>
      <w:szCs w:val="16"/>
    </w:rPr>
  </w:style>
  <w:style w:type="paragraph" w:styleId="883">
    <w:name w:val="Document Map"/>
    <w:basedOn w:val="699"/>
    <w:semiHidden/>
    <w:pPr>
      <w:shd w:val="clear" w:color="auto" w:fill="000080"/>
    </w:pPr>
    <w:rPr>
      <w:rFonts w:ascii="Tahoma" w:hAnsi="Tahoma" w:cs="Tahoma"/>
    </w:rPr>
  </w:style>
  <w:style w:type="character" w:styleId="884" w:customStyle="1">
    <w:name w:val="Заголовок 1 Знак"/>
    <w:link w:val="700"/>
    <w:rPr>
      <w:sz w:val="24"/>
      <w:szCs w:val="24"/>
    </w:rPr>
  </w:style>
  <w:style w:type="character" w:styleId="885" w:customStyle="1">
    <w:name w:val="Заголовок 9 Знак"/>
    <w:link w:val="708"/>
    <w:rPr>
      <w:rFonts w:ascii="Calibri Light" w:hAnsi="Calibri Light" w:eastAsia="Times New Roman" w:cs="Times New Roman"/>
      <w:sz w:val="22"/>
      <w:szCs w:val="22"/>
    </w:rPr>
  </w:style>
  <w:style w:type="paragraph" w:styleId="886" w:customStyle="1">
    <w:name w:val="ConsPlusCell"/>
    <w:uiPriority w:val="99"/>
    <w:rPr>
      <w:sz w:val="24"/>
      <w:szCs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>MOFOMS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5</dc:title>
  <dc:creator>nikitina</dc:creator>
  <cp:lastModifiedBy>kazanenko_iv</cp:lastModifiedBy>
  <cp:revision>98</cp:revision>
  <dcterms:created xsi:type="dcterms:W3CDTF">2019-11-12T14:00:00Z</dcterms:created>
  <dcterms:modified xsi:type="dcterms:W3CDTF">2026-04-27T09:02:40Z</dcterms:modified>
  <cp:version>1048576</cp:version>
</cp:coreProperties>
</file>